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6B57" w14:textId="0F4F4EB4" w:rsidR="00C7543D" w:rsidRPr="000C7CEE" w:rsidRDefault="00997106" w:rsidP="00C7543D">
      <w:pPr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 xml:space="preserve">Raporti (me komente) për ecurinë e konsultimit publik  për  </w:t>
      </w:r>
      <w:r w:rsidR="00C7543D" w:rsidRPr="000C7CEE">
        <w:rPr>
          <w:rFonts w:ascii="Book Antiqua" w:hAnsi="Book Antiqua"/>
          <w:b/>
          <w:sz w:val="28"/>
          <w:szCs w:val="28"/>
          <w:lang w:val="sq-AL"/>
        </w:rPr>
        <w:t>Planin Lokal të Veprimit për Barazi Gjinore 2024-2026</w:t>
      </w:r>
    </w:p>
    <w:p w14:paraId="2382B42E" w14:textId="60288947" w:rsidR="00997106" w:rsidRPr="00EF6876" w:rsidRDefault="00997106" w:rsidP="00997106">
      <w:pPr>
        <w:rPr>
          <w:rFonts w:ascii="Book Antiqua" w:hAnsi="Book Antiqua"/>
          <w:b/>
          <w:sz w:val="28"/>
          <w:szCs w:val="28"/>
          <w:lang w:val="sq-AL"/>
        </w:rPr>
      </w:pPr>
    </w:p>
    <w:p w14:paraId="7DA28C6B" w14:textId="1FD47201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Ky raport është përgatitur duke u bazuar në Udhëzimin Administrativ (MAPL) Nr. 04/2023  për Administratë të Hapur.</w:t>
      </w:r>
    </w:p>
    <w:p w14:paraId="5FF1DE1A" w14:textId="0E274FE6" w:rsidR="00997106" w:rsidRDefault="00997106" w:rsidP="00997106">
      <w:pPr>
        <w:spacing w:after="0"/>
        <w:rPr>
          <w:rFonts w:ascii="Book Antiqua" w:hAnsi="Book Antiqua"/>
          <w:sz w:val="28"/>
          <w:szCs w:val="28"/>
          <w:lang w:val="sq-AL"/>
        </w:rPr>
      </w:pPr>
    </w:p>
    <w:p w14:paraId="5CE287C0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lang w:val="sq-AL"/>
        </w:rPr>
      </w:pPr>
    </w:p>
    <w:p w14:paraId="797EB7B3" w14:textId="77777777" w:rsidR="00997106" w:rsidRPr="00EF6876" w:rsidRDefault="00997106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 xml:space="preserve"> 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Publikimet:</w:t>
      </w:r>
    </w:p>
    <w:p w14:paraId="03F9F872" w14:textId="1325957B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Në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uebfaqe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:</w:t>
      </w:r>
    </w:p>
    <w:p w14:paraId="7A963D3D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681329D" w14:textId="7A7174C0" w:rsidR="000D5B91" w:rsidRDefault="00835D2F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7" w:history="1">
        <w:r w:rsidR="000D5B91" w:rsidRPr="00A370D3">
          <w:rPr>
            <w:rStyle w:val="Hyperlink"/>
            <w:rFonts w:ascii="Book Antiqua" w:hAnsi="Book Antiqua"/>
            <w:sz w:val="28"/>
            <w:szCs w:val="28"/>
            <w:lang w:val="sq-AL"/>
          </w:rPr>
          <w:t>https://kk.rks-gov.net/ferizaj/category/konsultime-publike/njoftimet-konsultime-publike/</w:t>
        </w:r>
      </w:hyperlink>
    </w:p>
    <w:p w14:paraId="73D2A139" w14:textId="77777777" w:rsidR="000D5B91" w:rsidRDefault="000D5B91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70B84C29" w14:textId="23E4403D" w:rsidR="00997106" w:rsidRPr="00EF6876" w:rsidRDefault="00997106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Në platformë:</w:t>
      </w:r>
    </w:p>
    <w:p w14:paraId="0CA63598" w14:textId="4DEA2389" w:rsidR="00997106" w:rsidRDefault="00835D2F" w:rsidP="00997106">
      <w:pPr>
        <w:spacing w:line="360" w:lineRule="auto"/>
        <w:jc w:val="both"/>
      </w:pPr>
      <w:hyperlink r:id="rId8" w:history="1">
        <w:r w:rsidR="000D5B91" w:rsidRPr="00A370D3">
          <w:rPr>
            <w:rStyle w:val="Hyperlink"/>
          </w:rPr>
          <w:t>https://konsultimet.rks-gov.net/viewConsult.php?ConsultationID=42611</w:t>
        </w:r>
      </w:hyperlink>
    </w:p>
    <w:p w14:paraId="4B278EF2" w14:textId="77777777" w:rsidR="000D5B91" w:rsidRPr="00EF6876" w:rsidRDefault="000D5B91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74C17C8F" w14:textId="77777777" w:rsidR="000D5B91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</w:t>
      </w:r>
      <w:r w:rsidR="000D5B91">
        <w:rPr>
          <w:rFonts w:ascii="Book Antiqua" w:hAnsi="Book Antiqua"/>
          <w:sz w:val="28"/>
          <w:szCs w:val="28"/>
          <w:shd w:val="clear" w:color="auto" w:fill="FFFFFF"/>
          <w:lang w:val="sq-AL"/>
        </w:rPr>
        <w:t>02.10.</w:t>
      </w:r>
      <w:r w:rsidRPr="00EF6876">
        <w:rPr>
          <w:rFonts w:ascii="Book Antiqua" w:hAnsi="Book Antiqua"/>
          <w:sz w:val="28"/>
          <w:szCs w:val="28"/>
          <w:lang w:val="sq-AL"/>
        </w:rPr>
        <w:t>2024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është mbajtur konsultimi publik,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vegëza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e lajmi për mbajtjen e konsultimit:</w:t>
      </w:r>
      <w:r w:rsidR="000D5B9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</w:p>
    <w:p w14:paraId="679126D0" w14:textId="6B56B157" w:rsidR="00997106" w:rsidRDefault="00835D2F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9" w:history="1">
        <w:r w:rsidR="000D5B91" w:rsidRPr="00A370D3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https://kk.rks-gov.net/ferizaj/news/shume-shpejt-pritet-te-miratohet-planin-lokal-te-veprimit-per-barazi-gjinore-si-mjet-kryesor-i-zbatimit-te-angazhimeve-publike-per-barazine-gjinore/</w:t>
        </w:r>
      </w:hyperlink>
    </w:p>
    <w:p w14:paraId="0FAD70B7" w14:textId="77777777" w:rsidR="000D5B91" w:rsidRDefault="000D5B91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C2552EB" w14:textId="77777777" w:rsidR="000D5B91" w:rsidRPr="00EF6876" w:rsidRDefault="000D5B91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7BA3E21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BE4F43A" w14:textId="53ED9820" w:rsidR="00997106" w:rsidRPr="00EF6876" w:rsidRDefault="00023DBE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Projekti-</w:t>
      </w:r>
      <w:r w:rsidRP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Plani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Lokal i </w:t>
      </w:r>
      <w:r w:rsidRP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Veprimit për Barazi Gjinore 2024-2026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</w:t>
      </w:r>
      <w:r w:rsidR="00997106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iu është dorëzuar fizikisht, pjesëmarrësit të cilët ishin në konsultim publik, që të kenë mundësi të njihen më </w:t>
      </w:r>
      <w:proofErr w:type="spellStart"/>
      <w:r w:rsidR="00997106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detajshëm</w:t>
      </w:r>
      <w:proofErr w:type="spellEnd"/>
      <w:r w:rsidR="00997106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me dokumentin në fjalë, sepse disa nga ta nuk kishin pasur mundësi ta lexonin të publikuar në ueb faqe.</w:t>
      </w:r>
    </w:p>
    <w:p w14:paraId="597A1E33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CE56F28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8E62932" w14:textId="162569EB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</w:t>
      </w:r>
      <w:r w:rsid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>07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>10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.2024, është publikuar procesverbali për mbajtjen e konsultimit publik, procesverbali është i publikuar në këtë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vegëz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: </w:t>
      </w:r>
    </w:p>
    <w:p w14:paraId="40C750EF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978BEA3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2D88A8F" w14:textId="180E6BEB" w:rsidR="00997106" w:rsidRDefault="00835D2F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10" w:history="1">
        <w:r w:rsidR="00023DBE" w:rsidRPr="00A370D3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https://kk.rks-gov.net/ferizaj/category/konsultime-publike/</w:t>
        </w:r>
      </w:hyperlink>
    </w:p>
    <w:p w14:paraId="33B93917" w14:textId="77777777" w:rsidR="00023DBE" w:rsidRPr="00EF6876" w:rsidRDefault="00023DBE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8484BAB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1ED8D6F" w14:textId="429617FD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Dokumenti ka qenë në konsultim  publik në 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uebfaqen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zyrtare të komunës dhe platformën e konsultime publike, nga data </w:t>
      </w:r>
      <w:r w:rsid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>18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.0</w:t>
      </w:r>
      <w:r w:rsid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>9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.2024 deri me </w:t>
      </w:r>
      <w:r w:rsid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>18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>10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.2024, ndërsa komentet janë pranuar deri me datë </w:t>
      </w:r>
      <w:r w:rsid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>18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023DBE">
        <w:rPr>
          <w:rFonts w:ascii="Book Antiqua" w:hAnsi="Book Antiqua"/>
          <w:sz w:val="28"/>
          <w:szCs w:val="28"/>
          <w:shd w:val="clear" w:color="auto" w:fill="FFFFFF"/>
          <w:lang w:val="sq-AL"/>
        </w:rPr>
        <w:t>10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.2024. </w:t>
      </w:r>
    </w:p>
    <w:p w14:paraId="5157A354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A21BCB6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lastRenderedPageBreak/>
        <w:t>Përmes formës elektronike në e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-</w:t>
      </w:r>
      <w:proofErr w:type="spellStart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mailat</w:t>
      </w:r>
      <w:proofErr w:type="spellEnd"/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e zyrtarëve përgjegjës për pranimin e komenteve, nuk është pranuar asnjë koment nga ana e qytetarëve, komente nuk ka pasur as në formën elektronike. Gjithashtu nuk ka pasur komente as në mbajtjen e konsultimit publik.</w:t>
      </w:r>
    </w:p>
    <w:p w14:paraId="6B515ADF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B18052A" w14:textId="6631C051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Takimi i fundit i grupit punues është mbajtur me </w:t>
      </w:r>
      <w:r w:rsidR="00FC6AB3">
        <w:rPr>
          <w:rFonts w:ascii="Book Antiqua" w:hAnsi="Book Antiqua"/>
          <w:sz w:val="28"/>
          <w:szCs w:val="28"/>
          <w:shd w:val="clear" w:color="auto" w:fill="FFFFFF"/>
          <w:lang w:val="sq-AL"/>
        </w:rPr>
        <w:t>18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  <w:r w:rsidR="00FC6AB3">
        <w:rPr>
          <w:rFonts w:ascii="Book Antiqua" w:hAnsi="Book Antiqua"/>
          <w:sz w:val="28"/>
          <w:szCs w:val="28"/>
          <w:shd w:val="clear" w:color="auto" w:fill="FFFFFF"/>
          <w:lang w:val="sq-AL"/>
        </w:rPr>
        <w:t>10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.2024, dhe është diskutuar për pranimin e komenteve si në formë elektronike, gjatë konsultimit apo edhe në formë fizike, anëtarët e komisionit prezent në takim kanë thënë se nuk kemi pranuar asnjë koment, sugjerim në asnjë formë.</w:t>
      </w:r>
    </w:p>
    <w:p w14:paraId="538AE251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21910E6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5F037EA" w14:textId="16F37C8F" w:rsidR="00997106" w:rsidRPr="00EF6876" w:rsidRDefault="00997106" w:rsidP="00997106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>Tabelori me të dhëna të shkurtra:</w:t>
      </w:r>
    </w:p>
    <w:p w14:paraId="3B9DC0C2" w14:textId="77777777" w:rsidR="00997106" w:rsidRPr="00EF6876" w:rsidRDefault="00997106" w:rsidP="00997106">
      <w:pPr>
        <w:rPr>
          <w:rFonts w:ascii="Book Antiqua" w:hAnsi="Book Antiqua"/>
          <w:sz w:val="28"/>
          <w:szCs w:val="28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16"/>
        <w:gridCol w:w="1786"/>
        <w:gridCol w:w="2267"/>
        <w:gridCol w:w="2640"/>
        <w:gridCol w:w="2711"/>
      </w:tblGrid>
      <w:tr w:rsidR="00997106" w:rsidRPr="00EF6876" w14:paraId="219C3DFC" w14:textId="77777777" w:rsidTr="006F3AD8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F8A786" w14:textId="77777777" w:rsidR="00997106" w:rsidRPr="00EF6876" w:rsidRDefault="00997106" w:rsidP="006F3AD8">
            <w:pPr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Metodat e konsultimit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3F7960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Data / Kohëzgjatja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202C79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pjesëmarrësve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56D436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atyre që kanë dhënë komente, kërkesa / sugjerime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17BC36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Numri i kërkesave të pranuara </w:t>
            </w:r>
          </w:p>
        </w:tc>
      </w:tr>
      <w:tr w:rsidR="00997106" w:rsidRPr="00EF6876" w14:paraId="6895CCD0" w14:textId="77777777" w:rsidTr="006F3AD8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02B947" w14:textId="373F6C47" w:rsidR="00997106" w:rsidRPr="00EF6876" w:rsidRDefault="00997106" w:rsidP="00FC6AB3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1-Takim i drejtpërdrejtë me qytetarë </w:t>
            </w:r>
            <w:r w:rsidR="00FC6AB3" w:rsidRPr="00FC6AB3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për  Planin Lokal të </w:t>
            </w:r>
            <w:r w:rsidR="00FC6AB3" w:rsidRPr="00FC6AB3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lastRenderedPageBreak/>
              <w:t>Veprimit për Barazi Gjinore 2024-2026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C45" w14:textId="77777777" w:rsidR="00997106" w:rsidRPr="00EF6876" w:rsidRDefault="00997106" w:rsidP="006F3AD8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lastRenderedPageBreak/>
              <w:t>14.06.2024</w:t>
            </w:r>
          </w:p>
          <w:p w14:paraId="073404BF" w14:textId="77777777" w:rsidR="00997106" w:rsidRPr="00EF6876" w:rsidRDefault="00997106" w:rsidP="006F3AD8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70D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F       M         T</w:t>
            </w:r>
          </w:p>
          <w:p w14:paraId="23C9593F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7E719289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7       2           9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B00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7D547B4D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64A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24944E8A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</w:tr>
      <w:tr w:rsidR="00997106" w:rsidRPr="00EF6876" w14:paraId="460E8174" w14:textId="77777777" w:rsidTr="006F3AD8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5DF28BE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 w:eastAsia="x-none"/>
              </w:rPr>
              <w:t>Është mbajtur 1 konsultim publik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2AF16A" w14:textId="77777777" w:rsidR="00997106" w:rsidRPr="00EF6876" w:rsidRDefault="00997106" w:rsidP="006F3AD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30 minuta ka zgjatur konsultimi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7C5B08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pjesëmarrëseve:</w:t>
            </w:r>
          </w:p>
          <w:p w14:paraId="74BD0E8E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F      M        T</w:t>
            </w:r>
          </w:p>
          <w:p w14:paraId="13E456D3" w14:textId="6BB8EB69" w:rsidR="00997106" w:rsidRPr="00EF6876" w:rsidRDefault="00FC6AB3" w:rsidP="00FC6AB3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  <w:r w:rsidR="00997106" w:rsidRPr="00EF6876">
              <w:rPr>
                <w:rFonts w:ascii="Book Antiqua" w:hAnsi="Book Antiqua"/>
                <w:sz w:val="28"/>
                <w:szCs w:val="28"/>
                <w:lang w:val="sq-AL"/>
              </w:rPr>
              <w:t xml:space="preserve">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  0</w:t>
            </w:r>
            <w:r w:rsidR="00997106" w:rsidRPr="00EF6876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E38C3C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Totali i qytetarëve që kanë dhënë </w:t>
            </w:r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komente, kërkesa/sugjerime:</w:t>
            </w: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14:paraId="69879A62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3A9179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kërkesave:</w:t>
            </w:r>
          </w:p>
          <w:p w14:paraId="6BEB89B3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0</w:t>
            </w:r>
          </w:p>
        </w:tc>
      </w:tr>
    </w:tbl>
    <w:p w14:paraId="3589087F" w14:textId="77777777" w:rsidR="00997106" w:rsidRPr="00EF6876" w:rsidRDefault="00997106" w:rsidP="00997106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val="sq-AL"/>
        </w:rPr>
      </w:pPr>
    </w:p>
    <w:p w14:paraId="6517C34E" w14:textId="77777777" w:rsidR="00997106" w:rsidRPr="00EF6876" w:rsidRDefault="00997106" w:rsidP="00997106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Shtojca-Tabela e detajuar me informatat për kërkesat e dhëna, arsyetimet për kërkesat e pranuara dhe të refuzuara. </w:t>
      </w:r>
    </w:p>
    <w:p w14:paraId="5BAC7900" w14:textId="77777777" w:rsidR="00997106" w:rsidRPr="00EF6876" w:rsidRDefault="00997106" w:rsidP="00997106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561"/>
        <w:gridCol w:w="3116"/>
        <w:gridCol w:w="2690"/>
        <w:gridCol w:w="926"/>
        <w:gridCol w:w="810"/>
        <w:gridCol w:w="248"/>
        <w:gridCol w:w="3259"/>
      </w:tblGrid>
      <w:tr w:rsidR="00997106" w:rsidRPr="00EF6876" w14:paraId="11DA6C1A" w14:textId="77777777" w:rsidTr="006F3A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AAE3E6" w14:textId="77777777" w:rsidR="00997106" w:rsidRPr="00EF6876" w:rsidRDefault="00997106" w:rsidP="006F3AD8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proofErr w:type="spellStart"/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0F59B6F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Kërkesat /Sugjerimet  / Komentet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958E9F7" w14:textId="0258143A" w:rsidR="00997106" w:rsidRPr="00EF6876" w:rsidRDefault="00997106" w:rsidP="00FC6AB3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Kush ka dhënë kërkesë /  sugjerim për</w:t>
            </w: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 </w:t>
            </w:r>
            <w:r w:rsidR="00FC6AB3" w:rsidRPr="00FC6AB3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Planin Lokal të Veprimit për Barazi Gjinore 2024-2026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3145DDC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Statusi i kërkesës /sugjerimi  i pranuar , pjesërisht e pranuar apo  nuk është pranuar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F616C15" w14:textId="77777777" w:rsidR="00997106" w:rsidRPr="00EF6876" w:rsidRDefault="00997106" w:rsidP="006F3AD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Arsyetimi (komentimi për  pranimin pjesërisht dhe mos pranimit te komenteve është</w:t>
            </w:r>
          </w:p>
          <w:p w14:paraId="177C2D16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i detyrueshëm)</w:t>
            </w:r>
          </w:p>
        </w:tc>
      </w:tr>
      <w:tr w:rsidR="00997106" w:rsidRPr="00EF6876" w14:paraId="5F9BD46E" w14:textId="77777777" w:rsidTr="006F3A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0371E363" w14:textId="77777777" w:rsidR="00997106" w:rsidRPr="00EF6876" w:rsidRDefault="00997106" w:rsidP="006F3AD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432CFA72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4472C4" w:themeColor="accent5"/>
                <w:sz w:val="28"/>
                <w:szCs w:val="2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2F90CB12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60CB3B57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FB07595" w14:textId="77777777" w:rsidR="00997106" w:rsidRPr="00EF6876" w:rsidRDefault="00997106" w:rsidP="006F3AD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997106" w:rsidRPr="00EF6876" w14:paraId="3A8ECF01" w14:textId="77777777" w:rsidTr="006F3A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31712D" w14:textId="77777777" w:rsidR="00997106" w:rsidRPr="00EF6876" w:rsidRDefault="00997106" w:rsidP="006F3AD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BCFB6CC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AA475DF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24AA39B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47368F8" w14:textId="77777777" w:rsidR="00997106" w:rsidRPr="00EF6876" w:rsidRDefault="00997106" w:rsidP="006F3AD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</w:tr>
    </w:tbl>
    <w:p w14:paraId="13A83C32" w14:textId="77777777" w:rsidR="00997106" w:rsidRPr="00EF6876" w:rsidRDefault="00997106" w:rsidP="00997106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14:paraId="381A140B" w14:textId="77777777" w:rsidR="00997106" w:rsidRPr="00EF6876" w:rsidRDefault="00997106" w:rsidP="00997106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>Shkurtesat:</w:t>
      </w:r>
    </w:p>
    <w:p w14:paraId="5B7FC795" w14:textId="77777777" w:rsidR="00997106" w:rsidRPr="00EF6876" w:rsidRDefault="00997106" w:rsidP="00997106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F-Femra</w:t>
      </w:r>
    </w:p>
    <w:p w14:paraId="501873F2" w14:textId="77777777" w:rsidR="00997106" w:rsidRPr="00EF6876" w:rsidRDefault="00997106" w:rsidP="00997106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M-Meshkuj</w:t>
      </w:r>
    </w:p>
    <w:p w14:paraId="5524FC6E" w14:textId="77777777" w:rsidR="00997106" w:rsidRPr="00EF6876" w:rsidRDefault="00997106" w:rsidP="00997106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T-Totali</w:t>
      </w:r>
    </w:p>
    <w:p w14:paraId="06F4E8EC" w14:textId="77777777" w:rsidR="00997106" w:rsidRPr="00EF6876" w:rsidRDefault="00997106" w:rsidP="00997106">
      <w:pPr>
        <w:tabs>
          <w:tab w:val="left" w:pos="7005"/>
        </w:tabs>
        <w:spacing w:after="300" w:line="360" w:lineRule="auto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>Bashkangjitur në këtë raport janë edhe këto dokumente:</w:t>
      </w:r>
    </w:p>
    <w:p w14:paraId="7C985ADB" w14:textId="77777777" w:rsidR="00997106" w:rsidRPr="00EF6876" w:rsidRDefault="00997106" w:rsidP="00997106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EF6876">
        <w:rPr>
          <w:rFonts w:ascii="Book Antiqua" w:eastAsiaTheme="minorHAnsi" w:hAnsi="Book Antiqua"/>
          <w:sz w:val="28"/>
          <w:szCs w:val="28"/>
        </w:rPr>
        <w:t>Njoftimin për mbajtjen e konsultimit publik,</w:t>
      </w:r>
    </w:p>
    <w:p w14:paraId="7BE27B71" w14:textId="77777777" w:rsidR="00997106" w:rsidRPr="00EF6876" w:rsidRDefault="00997106" w:rsidP="00997106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EF6876">
        <w:rPr>
          <w:rFonts w:ascii="Book Antiqua" w:eastAsiaTheme="minorHAnsi" w:hAnsi="Book Antiqua"/>
          <w:sz w:val="28"/>
          <w:szCs w:val="28"/>
        </w:rPr>
        <w:t>Lista e nënshkrimeve të qytetarëve pjesëmarrës në konsultimin publik,</w:t>
      </w:r>
    </w:p>
    <w:p w14:paraId="56351CD5" w14:textId="77777777" w:rsidR="00F81472" w:rsidRDefault="00F81472" w:rsidP="00997106">
      <w:pPr>
        <w:rPr>
          <w:rFonts w:ascii="Book Antiqua" w:hAnsi="Book Antiqua"/>
          <w:sz w:val="28"/>
          <w:szCs w:val="28"/>
          <w:lang w:val="sq-AL"/>
        </w:rPr>
      </w:pPr>
    </w:p>
    <w:p w14:paraId="3AA68FDE" w14:textId="15FE41F5" w:rsidR="00997106" w:rsidRPr="00EF6876" w:rsidRDefault="00997106" w:rsidP="00997106">
      <w:pPr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Raporti është përgatitur nga:</w:t>
      </w:r>
    </w:p>
    <w:p w14:paraId="22EA0E31" w14:textId="77777777" w:rsidR="00997106" w:rsidRDefault="00997106" w:rsidP="00997106">
      <w:pPr>
        <w:rPr>
          <w:rFonts w:ascii="Book Antiqua" w:eastAsia="Calibri" w:hAnsi="Book Antiqua"/>
          <w:sz w:val="28"/>
          <w:szCs w:val="28"/>
          <w:lang w:val="sq-AL"/>
        </w:rPr>
      </w:pPr>
    </w:p>
    <w:p w14:paraId="082F3FC7" w14:textId="77777777" w:rsidR="00997106" w:rsidRPr="00EF6876" w:rsidRDefault="00997106" w:rsidP="00997106">
      <w:pPr>
        <w:rPr>
          <w:rFonts w:ascii="Book Antiqua" w:eastAsia="Calibri" w:hAnsi="Book Antiqua"/>
          <w:sz w:val="28"/>
          <w:szCs w:val="28"/>
          <w:lang w:val="sq-AL"/>
        </w:rPr>
      </w:pPr>
      <w:r w:rsidRPr="00EF6876">
        <w:rPr>
          <w:rFonts w:ascii="Book Antiqua" w:eastAsia="Calibri" w:hAnsi="Book Antiqua"/>
          <w:sz w:val="28"/>
          <w:szCs w:val="28"/>
          <w:lang w:val="sq-AL"/>
        </w:rPr>
        <w:t>Shyhrete Topalli</w:t>
      </w:r>
    </w:p>
    <w:p w14:paraId="3F72E9DC" w14:textId="428AE8BF" w:rsidR="001E79EC" w:rsidRDefault="00997106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eastAsia="Calibri" w:hAnsi="Book Antiqua"/>
          <w:sz w:val="28"/>
          <w:szCs w:val="28"/>
          <w:lang w:val="sq-AL"/>
        </w:rPr>
        <w:t>Udhëheqëse e Zyrës për Informim dhe Komunikim me Publikun</w:t>
      </w:r>
      <w:bookmarkStart w:id="0" w:name="_GoBack"/>
      <w:bookmarkEnd w:id="0"/>
    </w:p>
    <w:sectPr w:rsidR="001E79EC" w:rsidSect="0089182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26FF" w14:textId="77777777" w:rsidR="00835D2F" w:rsidRDefault="00835D2F" w:rsidP="00202C4C">
      <w:pPr>
        <w:spacing w:after="0" w:line="240" w:lineRule="auto"/>
      </w:pPr>
      <w:r>
        <w:separator/>
      </w:r>
    </w:p>
  </w:endnote>
  <w:endnote w:type="continuationSeparator" w:id="0">
    <w:p w14:paraId="28EC1C30" w14:textId="77777777" w:rsidR="00835D2F" w:rsidRDefault="00835D2F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2E5B" w14:textId="77777777" w:rsidR="00835D2F" w:rsidRDefault="00835D2F" w:rsidP="00202C4C">
      <w:pPr>
        <w:spacing w:after="0" w:line="240" w:lineRule="auto"/>
      </w:pPr>
      <w:r>
        <w:separator/>
      </w:r>
    </w:p>
  </w:footnote>
  <w:footnote w:type="continuationSeparator" w:id="0">
    <w:p w14:paraId="22CD9C8E" w14:textId="77777777" w:rsidR="00835D2F" w:rsidRDefault="00835D2F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23DBE"/>
    <w:rsid w:val="00063A91"/>
    <w:rsid w:val="000D5B91"/>
    <w:rsid w:val="001E79EC"/>
    <w:rsid w:val="00202C4C"/>
    <w:rsid w:val="00235E67"/>
    <w:rsid w:val="00411667"/>
    <w:rsid w:val="00425010"/>
    <w:rsid w:val="00451E3D"/>
    <w:rsid w:val="004F516F"/>
    <w:rsid w:val="005526A0"/>
    <w:rsid w:val="0067085B"/>
    <w:rsid w:val="0069156A"/>
    <w:rsid w:val="0077235A"/>
    <w:rsid w:val="007B714A"/>
    <w:rsid w:val="007B7EB5"/>
    <w:rsid w:val="00835D2F"/>
    <w:rsid w:val="008516DC"/>
    <w:rsid w:val="0089182B"/>
    <w:rsid w:val="00955FEA"/>
    <w:rsid w:val="00997106"/>
    <w:rsid w:val="009A1F10"/>
    <w:rsid w:val="009E13B7"/>
    <w:rsid w:val="00B00FD0"/>
    <w:rsid w:val="00BC09E5"/>
    <w:rsid w:val="00C67341"/>
    <w:rsid w:val="00C7543D"/>
    <w:rsid w:val="00D12D00"/>
    <w:rsid w:val="00D17BFA"/>
    <w:rsid w:val="00DF2CBD"/>
    <w:rsid w:val="00DF3CB3"/>
    <w:rsid w:val="00E47DCC"/>
    <w:rsid w:val="00E5105A"/>
    <w:rsid w:val="00F81472"/>
    <w:rsid w:val="00FC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97106"/>
    <w:rPr>
      <w:i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39"/>
    <w:rsid w:val="00997106"/>
    <w:pPr>
      <w:spacing w:after="0" w:line="240" w:lineRule="auto"/>
    </w:pPr>
    <w:rPr>
      <w:rFonts w:eastAsia="MS Mincho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9710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9710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997106"/>
    <w:pPr>
      <w:spacing w:after="0" w:line="240" w:lineRule="auto"/>
      <w:ind w:left="720"/>
    </w:pPr>
    <w:rPr>
      <w:rFonts w:eastAsia="MS Minch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997106"/>
    <w:rPr>
      <w:rFonts w:eastAsia="MS Mincho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viewConsult.php?ConsultationID=426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konsultime-publike/njoftimet-konsultime-publik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k.rks-gov.net/ferizaj/category/konsultime-publ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news/shume-shpejt-pritet-te-miratohet-planin-lokal-te-veprimit-per-barazi-gjinore-si-mjet-kryesor-i-zbatimit-te-angazhimeve-publike-per-barazine-gjino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8</cp:revision>
  <cp:lastPrinted>2024-11-12T10:19:00Z</cp:lastPrinted>
  <dcterms:created xsi:type="dcterms:W3CDTF">2024-10-10T07:30:00Z</dcterms:created>
  <dcterms:modified xsi:type="dcterms:W3CDTF">2024-11-12T10:21:00Z</dcterms:modified>
</cp:coreProperties>
</file>