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0CC" w:rsidRDefault="000700CC" w:rsidP="000700CC">
      <w:pPr>
        <w:spacing w:line="360" w:lineRule="auto"/>
        <w:jc w:val="both"/>
        <w:rPr>
          <w:rFonts w:ascii="Times New Roman" w:hAnsi="Times New Roman" w:cs="Times New Roman"/>
          <w:b/>
          <w:bCs/>
          <w:sz w:val="24"/>
          <w:szCs w:val="24"/>
          <w:lang w:val="sq-AL"/>
        </w:rPr>
      </w:pPr>
    </w:p>
    <w:p w:rsidR="000700CC" w:rsidRPr="00B44263" w:rsidRDefault="000700CC" w:rsidP="000700CC">
      <w:pPr>
        <w:spacing w:after="0"/>
        <w:jc w:val="center"/>
        <w:rPr>
          <w:b/>
          <w:bCs/>
          <w:sz w:val="24"/>
          <w:szCs w:val="24"/>
          <w:lang w:val="sq-AL"/>
        </w:rPr>
      </w:pPr>
    </w:p>
    <w:p w:rsidR="000700CC" w:rsidRPr="00B44263" w:rsidRDefault="000700CC" w:rsidP="000700CC">
      <w:pPr>
        <w:spacing w:after="0"/>
        <w:jc w:val="center"/>
        <w:rPr>
          <w:b/>
          <w:bCs/>
          <w:sz w:val="24"/>
          <w:szCs w:val="24"/>
          <w:lang w:val="sq-AL"/>
        </w:rPr>
      </w:pPr>
    </w:p>
    <w:p w:rsidR="000700CC" w:rsidRPr="0018550A" w:rsidRDefault="000700CC" w:rsidP="000700CC">
      <w:pPr>
        <w:spacing w:after="0"/>
        <w:jc w:val="center"/>
        <w:rPr>
          <w:rFonts w:ascii="Times New Roman" w:hAnsi="Times New Roman" w:cs="Times New Roman"/>
          <w:b/>
          <w:bCs/>
          <w:sz w:val="24"/>
          <w:szCs w:val="24"/>
          <w:lang w:val="sq-AL"/>
        </w:rPr>
      </w:pPr>
      <w:r w:rsidRPr="0018550A">
        <w:rPr>
          <w:rFonts w:ascii="Times New Roman" w:hAnsi="Times New Roman" w:cs="Times New Roman"/>
          <w:b/>
          <w:bCs/>
          <w:noProof/>
          <w:sz w:val="24"/>
          <w:szCs w:val="24"/>
          <w:lang w:val="sq-AL" w:eastAsia="sq-AL"/>
        </w:rPr>
        <w:drawing>
          <wp:anchor distT="0" distB="0" distL="114300" distR="114300" simplePos="0" relativeHeight="251660288" behindDoc="0" locked="0" layoutInCell="1" allowOverlap="1" wp14:anchorId="7D79ED72" wp14:editId="499717B0">
            <wp:simplePos x="0" y="0"/>
            <wp:positionH relativeFrom="column">
              <wp:posOffset>511937</wp:posOffset>
            </wp:positionH>
            <wp:positionV relativeFrom="paragraph">
              <wp:posOffset>0</wp:posOffset>
            </wp:positionV>
            <wp:extent cx="746125" cy="825500"/>
            <wp:effectExtent l="0" t="0" r="0" b="0"/>
            <wp:wrapSquare wrapText="bothSides"/>
            <wp:docPr id="1492923129" name="Picture 6" descr="A blue shield with a map and white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23129" name="Picture 6" descr="A blue shield with a map and white sta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6125" cy="825500"/>
                    </a:xfrm>
                    <a:prstGeom prst="rect">
                      <a:avLst/>
                    </a:prstGeom>
                  </pic:spPr>
                </pic:pic>
              </a:graphicData>
            </a:graphic>
            <wp14:sizeRelH relativeFrom="page">
              <wp14:pctWidth>0</wp14:pctWidth>
            </wp14:sizeRelH>
            <wp14:sizeRelV relativeFrom="page">
              <wp14:pctHeight>0</wp14:pctHeight>
            </wp14:sizeRelV>
          </wp:anchor>
        </w:drawing>
      </w:r>
      <w:r w:rsidRPr="0018550A">
        <w:rPr>
          <w:rFonts w:ascii="Times New Roman" w:hAnsi="Times New Roman" w:cs="Times New Roman"/>
          <w:b/>
          <w:bCs/>
          <w:noProof/>
          <w:sz w:val="24"/>
          <w:szCs w:val="24"/>
          <w:lang w:val="sq-AL" w:eastAsia="sq-AL"/>
        </w:rPr>
        <w:drawing>
          <wp:anchor distT="0" distB="0" distL="114300" distR="114300" simplePos="0" relativeHeight="251659264" behindDoc="0" locked="0" layoutInCell="1" allowOverlap="1" wp14:anchorId="44749CB8" wp14:editId="48AD1A42">
            <wp:simplePos x="0" y="0"/>
            <wp:positionH relativeFrom="column">
              <wp:posOffset>4498543</wp:posOffset>
            </wp:positionH>
            <wp:positionV relativeFrom="paragraph">
              <wp:posOffset>431</wp:posOffset>
            </wp:positionV>
            <wp:extent cx="811530" cy="770255"/>
            <wp:effectExtent l="0" t="0" r="7620" b="0"/>
            <wp:wrapSquare wrapText="bothSides"/>
            <wp:docPr id="318113376" name="Picture 5" descr="A red and black shiel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13376" name="Picture 5" descr="A red and black shield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530" cy="770255"/>
                    </a:xfrm>
                    <a:prstGeom prst="rect">
                      <a:avLst/>
                    </a:prstGeom>
                  </pic:spPr>
                </pic:pic>
              </a:graphicData>
            </a:graphic>
            <wp14:sizeRelH relativeFrom="page">
              <wp14:pctWidth>0</wp14:pctWidth>
            </wp14:sizeRelH>
            <wp14:sizeRelV relativeFrom="page">
              <wp14:pctHeight>0</wp14:pctHeight>
            </wp14:sizeRelV>
          </wp:anchor>
        </w:drawing>
      </w:r>
      <w:r w:rsidRPr="0018550A">
        <w:rPr>
          <w:rFonts w:ascii="Times New Roman" w:hAnsi="Times New Roman" w:cs="Times New Roman"/>
          <w:b/>
          <w:bCs/>
          <w:sz w:val="24"/>
          <w:szCs w:val="24"/>
          <w:lang w:val="sq-AL"/>
        </w:rPr>
        <w:t>Republika e Kosovës</w:t>
      </w:r>
    </w:p>
    <w:p w:rsidR="000700CC" w:rsidRPr="0018550A" w:rsidRDefault="000700CC" w:rsidP="000700CC">
      <w:pPr>
        <w:spacing w:after="0"/>
        <w:jc w:val="center"/>
        <w:rPr>
          <w:rFonts w:ascii="Times New Roman" w:hAnsi="Times New Roman" w:cs="Times New Roman"/>
          <w:sz w:val="24"/>
          <w:szCs w:val="24"/>
          <w:lang w:val="sq-AL"/>
        </w:rPr>
      </w:pPr>
      <w:r w:rsidRPr="0018550A">
        <w:rPr>
          <w:rFonts w:ascii="Times New Roman" w:hAnsi="Times New Roman" w:cs="Times New Roman"/>
          <w:sz w:val="24"/>
          <w:szCs w:val="24"/>
          <w:lang w:val="sq-AL"/>
        </w:rPr>
        <w:t>Republika Kosova – Republic of Kosovo</w:t>
      </w:r>
    </w:p>
    <w:p w:rsidR="000700CC" w:rsidRPr="0018550A" w:rsidRDefault="000700CC" w:rsidP="000700CC">
      <w:pPr>
        <w:spacing w:after="0"/>
        <w:jc w:val="center"/>
        <w:rPr>
          <w:rFonts w:ascii="Times New Roman" w:hAnsi="Times New Roman" w:cs="Times New Roman"/>
          <w:b/>
          <w:bCs/>
          <w:sz w:val="24"/>
          <w:szCs w:val="24"/>
          <w:lang w:val="sq-AL"/>
        </w:rPr>
      </w:pPr>
      <w:r w:rsidRPr="0018550A">
        <w:rPr>
          <w:rFonts w:ascii="Times New Roman" w:hAnsi="Times New Roman" w:cs="Times New Roman"/>
          <w:b/>
          <w:bCs/>
          <w:sz w:val="24"/>
          <w:szCs w:val="24"/>
          <w:lang w:val="sq-AL"/>
        </w:rPr>
        <w:t>Komuna Drenas</w:t>
      </w:r>
    </w:p>
    <w:p w:rsidR="000700CC" w:rsidRPr="0018550A" w:rsidRDefault="000700CC" w:rsidP="000700CC">
      <w:pPr>
        <w:spacing w:after="0"/>
        <w:jc w:val="center"/>
        <w:rPr>
          <w:rFonts w:ascii="Times New Roman" w:hAnsi="Times New Roman" w:cs="Times New Roman"/>
          <w:sz w:val="24"/>
          <w:szCs w:val="24"/>
          <w:lang w:val="sq-AL"/>
        </w:rPr>
      </w:pPr>
      <w:r w:rsidRPr="0018550A">
        <w:rPr>
          <w:rFonts w:ascii="Times New Roman" w:hAnsi="Times New Roman" w:cs="Times New Roman"/>
          <w:sz w:val="24"/>
          <w:szCs w:val="24"/>
          <w:lang w:val="sq-AL"/>
        </w:rPr>
        <w:t>Opstina Drenas – Municipality of Drenas</w:t>
      </w:r>
    </w:p>
    <w:p w:rsidR="000700CC" w:rsidRPr="0018550A" w:rsidRDefault="000700CC" w:rsidP="000700CC">
      <w:pPr>
        <w:rPr>
          <w:sz w:val="24"/>
          <w:szCs w:val="24"/>
          <w:lang w:val="sq-AL"/>
        </w:rPr>
      </w:pPr>
    </w:p>
    <w:p w:rsidR="000700CC" w:rsidRPr="0018550A" w:rsidRDefault="000700CC" w:rsidP="000700CC">
      <w:pPr>
        <w:rPr>
          <w:sz w:val="24"/>
          <w:szCs w:val="24"/>
          <w:lang w:val="sq-AL"/>
        </w:rPr>
      </w:pPr>
    </w:p>
    <w:p w:rsidR="000700CC" w:rsidRPr="00B44263" w:rsidRDefault="000700CC" w:rsidP="000700CC">
      <w:pPr>
        <w:rPr>
          <w:lang w:val="sq-AL"/>
        </w:rPr>
      </w:pPr>
    </w:p>
    <w:p w:rsidR="000700CC" w:rsidRPr="00B44263" w:rsidRDefault="000700CC" w:rsidP="000700CC">
      <w:pPr>
        <w:rPr>
          <w:lang w:val="sq-AL"/>
        </w:rPr>
      </w:pPr>
    </w:p>
    <w:p w:rsidR="000700CC" w:rsidRPr="00B44263" w:rsidRDefault="000700CC" w:rsidP="000700CC">
      <w:pPr>
        <w:rPr>
          <w:lang w:val="sq-AL"/>
        </w:rPr>
      </w:pPr>
    </w:p>
    <w:p w:rsidR="000700CC" w:rsidRPr="0018550A" w:rsidRDefault="000700CC" w:rsidP="000700CC">
      <w:pPr>
        <w:rPr>
          <w:rFonts w:ascii="Times New Roman" w:hAnsi="Times New Roman" w:cs="Times New Roman"/>
          <w:lang w:val="sq-AL"/>
        </w:rPr>
      </w:pPr>
    </w:p>
    <w:p w:rsidR="000700CC" w:rsidRPr="0018550A" w:rsidRDefault="000700CC" w:rsidP="000700CC">
      <w:pPr>
        <w:tabs>
          <w:tab w:val="left" w:pos="2834"/>
        </w:tabs>
        <w:spacing w:line="360" w:lineRule="auto"/>
        <w:jc w:val="center"/>
        <w:rPr>
          <w:rFonts w:ascii="Times New Roman" w:hAnsi="Times New Roman" w:cs="Times New Roman"/>
          <w:b/>
          <w:bCs/>
          <w:sz w:val="36"/>
          <w:szCs w:val="36"/>
          <w:lang w:val="sq-AL"/>
        </w:rPr>
      </w:pPr>
      <w:r w:rsidRPr="0018550A">
        <w:rPr>
          <w:rFonts w:ascii="Times New Roman" w:hAnsi="Times New Roman" w:cs="Times New Roman"/>
          <w:b/>
          <w:bCs/>
          <w:sz w:val="36"/>
          <w:szCs w:val="36"/>
          <w:lang w:val="sq-AL"/>
        </w:rPr>
        <w:t>DRAFT - STRATEGJIA</w:t>
      </w:r>
    </w:p>
    <w:p w:rsidR="000700CC" w:rsidRPr="0018550A" w:rsidRDefault="000700CC" w:rsidP="000700CC">
      <w:pPr>
        <w:tabs>
          <w:tab w:val="left" w:pos="2834"/>
        </w:tabs>
        <w:spacing w:line="240" w:lineRule="auto"/>
        <w:jc w:val="center"/>
        <w:rPr>
          <w:rFonts w:ascii="Times New Roman" w:hAnsi="Times New Roman" w:cs="Times New Roman"/>
          <w:b/>
          <w:bCs/>
          <w:sz w:val="36"/>
          <w:szCs w:val="36"/>
          <w:lang w:val="sq-AL"/>
        </w:rPr>
      </w:pPr>
      <w:r w:rsidRPr="0018550A">
        <w:rPr>
          <w:rFonts w:ascii="Times New Roman" w:hAnsi="Times New Roman" w:cs="Times New Roman"/>
          <w:b/>
          <w:bCs/>
          <w:sz w:val="36"/>
          <w:szCs w:val="36"/>
          <w:lang w:val="sq-AL"/>
        </w:rPr>
        <w:t xml:space="preserve">PËR ZHVILLIMIN DHE FUQIZIMIN E RINISË </w:t>
      </w:r>
    </w:p>
    <w:p w:rsidR="000700CC" w:rsidRPr="0018550A" w:rsidRDefault="000700CC" w:rsidP="000700CC">
      <w:pPr>
        <w:tabs>
          <w:tab w:val="left" w:pos="2834"/>
        </w:tabs>
        <w:spacing w:line="240" w:lineRule="auto"/>
        <w:jc w:val="center"/>
        <w:rPr>
          <w:rFonts w:ascii="Times New Roman" w:hAnsi="Times New Roman" w:cs="Times New Roman"/>
          <w:b/>
          <w:bCs/>
          <w:sz w:val="36"/>
          <w:szCs w:val="36"/>
          <w:lang w:val="sq-AL"/>
        </w:rPr>
      </w:pPr>
      <w:r w:rsidRPr="0018550A">
        <w:rPr>
          <w:rFonts w:ascii="Times New Roman" w:hAnsi="Times New Roman" w:cs="Times New Roman"/>
          <w:b/>
          <w:bCs/>
          <w:sz w:val="36"/>
          <w:szCs w:val="36"/>
          <w:lang w:val="sq-AL"/>
        </w:rPr>
        <w:t>NË  KOMUNËN E DRENASIT</w:t>
      </w:r>
    </w:p>
    <w:p w:rsidR="000700CC" w:rsidRPr="0018550A" w:rsidRDefault="000700CC" w:rsidP="000700CC">
      <w:pPr>
        <w:tabs>
          <w:tab w:val="left" w:pos="2834"/>
        </w:tabs>
        <w:spacing w:line="360" w:lineRule="auto"/>
        <w:jc w:val="center"/>
        <w:rPr>
          <w:rFonts w:ascii="Times New Roman" w:hAnsi="Times New Roman" w:cs="Times New Roman"/>
          <w:b/>
          <w:bCs/>
          <w:sz w:val="36"/>
          <w:szCs w:val="36"/>
          <w:lang w:val="sq-AL"/>
        </w:rPr>
      </w:pPr>
      <w:r>
        <w:rPr>
          <w:rFonts w:ascii="Times New Roman" w:hAnsi="Times New Roman" w:cs="Times New Roman"/>
          <w:b/>
          <w:bCs/>
          <w:sz w:val="36"/>
          <w:szCs w:val="36"/>
          <w:lang w:val="sq-AL"/>
        </w:rPr>
        <w:t>2024-2029</w:t>
      </w:r>
    </w:p>
    <w:p w:rsidR="000700CC" w:rsidRPr="00B44263" w:rsidRDefault="000700CC" w:rsidP="000700CC">
      <w:pPr>
        <w:rPr>
          <w:sz w:val="28"/>
          <w:szCs w:val="28"/>
          <w:lang w:val="sq-AL"/>
        </w:rPr>
      </w:pPr>
    </w:p>
    <w:p w:rsidR="000700CC" w:rsidRPr="00B44263" w:rsidRDefault="000700CC" w:rsidP="000700CC">
      <w:pPr>
        <w:jc w:val="center"/>
        <w:rPr>
          <w:sz w:val="28"/>
          <w:szCs w:val="28"/>
          <w:lang w:val="sq-AL"/>
        </w:rPr>
      </w:pPr>
      <w:r w:rsidRPr="00475B74">
        <w:rPr>
          <w:rFonts w:ascii="Times New Roman" w:hAnsi="Times New Roman" w:cs="Times New Roman"/>
          <w:noProof/>
          <w:sz w:val="24"/>
          <w:szCs w:val="24"/>
          <w:lang w:val="sq-AL" w:eastAsia="sq-AL"/>
        </w:rPr>
        <w:drawing>
          <wp:inline distT="0" distB="0" distL="0" distR="0" wp14:anchorId="33D52088" wp14:editId="124DD0FC">
            <wp:extent cx="1386669" cy="1386669"/>
            <wp:effectExtent l="19050" t="0" r="3981" b="0"/>
            <wp:docPr id="3" name="Picture 2"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a:stretch>
                      <a:fillRect/>
                    </a:stretch>
                  </pic:blipFill>
                  <pic:spPr>
                    <a:xfrm>
                      <a:off x="0" y="0"/>
                      <a:ext cx="1388861" cy="1388861"/>
                    </a:xfrm>
                    <a:prstGeom prst="rect">
                      <a:avLst/>
                    </a:prstGeom>
                  </pic:spPr>
                </pic:pic>
              </a:graphicData>
            </a:graphic>
          </wp:inline>
        </w:drawing>
      </w:r>
    </w:p>
    <w:p w:rsidR="000700CC" w:rsidRPr="00B44263" w:rsidRDefault="000700CC" w:rsidP="000700CC">
      <w:pPr>
        <w:rPr>
          <w:sz w:val="28"/>
          <w:szCs w:val="28"/>
          <w:lang w:val="sq-AL"/>
        </w:rPr>
      </w:pPr>
    </w:p>
    <w:p w:rsidR="000700CC" w:rsidRPr="0018550A" w:rsidRDefault="000700CC" w:rsidP="000700CC">
      <w:pPr>
        <w:jc w:val="center"/>
        <w:rPr>
          <w:rFonts w:ascii="Times New Roman" w:hAnsi="Times New Roman" w:cs="Times New Roman"/>
          <w:sz w:val="24"/>
          <w:szCs w:val="24"/>
          <w:lang w:val="sq-AL"/>
        </w:rPr>
      </w:pPr>
    </w:p>
    <w:p w:rsidR="000700CC" w:rsidRPr="009076F0" w:rsidRDefault="000700CC" w:rsidP="000700CC">
      <w:pPr>
        <w:jc w:val="center"/>
        <w:rPr>
          <w:sz w:val="24"/>
          <w:szCs w:val="24"/>
          <w:lang w:val="sq-AL"/>
        </w:rPr>
      </w:pPr>
      <w:r w:rsidRPr="0018550A">
        <w:rPr>
          <w:rFonts w:ascii="Times New Roman" w:hAnsi="Times New Roman" w:cs="Times New Roman"/>
          <w:sz w:val="24"/>
          <w:szCs w:val="24"/>
          <w:lang w:val="sq-AL"/>
        </w:rPr>
        <w:t>Maj 2024</w:t>
      </w:r>
    </w:p>
    <w:p w:rsidR="000700CC" w:rsidRDefault="000700CC" w:rsidP="000700CC">
      <w:pPr>
        <w:rPr>
          <w:rFonts w:ascii="Times New Roman" w:hAnsi="Times New Roman" w:cs="Times New Roman"/>
          <w:b/>
          <w:sz w:val="24"/>
          <w:szCs w:val="24"/>
        </w:rPr>
      </w:pPr>
      <w:r>
        <w:rPr>
          <w:rFonts w:ascii="Times New Roman" w:hAnsi="Times New Roman" w:cs="Times New Roman"/>
          <w:b/>
          <w:sz w:val="24"/>
          <w:szCs w:val="24"/>
        </w:rPr>
        <w:br/>
      </w:r>
    </w:p>
    <w:p w:rsidR="000700CC" w:rsidRDefault="000700CC" w:rsidP="000700CC">
      <w:pPr>
        <w:rPr>
          <w:rFonts w:ascii="Times New Roman" w:hAnsi="Times New Roman" w:cs="Times New Roman"/>
          <w:b/>
          <w:sz w:val="24"/>
          <w:szCs w:val="24"/>
        </w:rPr>
      </w:pPr>
    </w:p>
    <w:p w:rsidR="000700CC" w:rsidRPr="009076F0" w:rsidRDefault="000700CC" w:rsidP="000700CC">
      <w:pPr>
        <w:jc w:val="center"/>
        <w:rPr>
          <w:rFonts w:ascii="Times New Roman" w:hAnsi="Times New Roman" w:cs="Times New Roman"/>
          <w:b/>
          <w:sz w:val="24"/>
          <w:szCs w:val="24"/>
        </w:rPr>
      </w:pPr>
      <w:r w:rsidRPr="009076F0">
        <w:rPr>
          <w:rFonts w:ascii="Times New Roman" w:hAnsi="Times New Roman" w:cs="Times New Roman"/>
          <w:b/>
          <w:sz w:val="24"/>
          <w:szCs w:val="24"/>
        </w:rPr>
        <w:t>STRATEGJIA PËR ZH</w:t>
      </w:r>
      <w:r>
        <w:rPr>
          <w:rFonts w:ascii="Times New Roman" w:hAnsi="Times New Roman" w:cs="Times New Roman"/>
          <w:b/>
          <w:sz w:val="24"/>
          <w:szCs w:val="24"/>
        </w:rPr>
        <w:t>VILLIMIN DHE FUQIZIMIN E RINISË</w:t>
      </w:r>
      <w:r w:rsidRPr="009076F0">
        <w:rPr>
          <w:rFonts w:ascii="Times New Roman" w:hAnsi="Times New Roman" w:cs="Times New Roman"/>
          <w:b/>
          <w:sz w:val="24"/>
          <w:szCs w:val="24"/>
        </w:rPr>
        <w:t xml:space="preserve"> NË KOMUNËN E DRENASIT</w:t>
      </w:r>
      <w:r>
        <w:rPr>
          <w:rFonts w:ascii="Times New Roman" w:hAnsi="Times New Roman" w:cs="Times New Roman"/>
          <w:b/>
          <w:sz w:val="24"/>
          <w:szCs w:val="24"/>
        </w:rPr>
        <w:t xml:space="preserve"> 2024-2029</w:t>
      </w:r>
    </w:p>
    <w:p w:rsidR="000700CC" w:rsidRPr="00B44263" w:rsidRDefault="000700CC" w:rsidP="000700CC">
      <w:pPr>
        <w:rPr>
          <w:sz w:val="28"/>
          <w:szCs w:val="28"/>
          <w:lang w:val="sq-AL"/>
        </w:rPr>
      </w:pPr>
    </w:p>
    <w:p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Dokumenti “Strategjia për Zhvillimin dhe Fuqizimin e Rinisë</w:t>
      </w:r>
      <w:r>
        <w:rPr>
          <w:rFonts w:ascii="Times New Roman" w:hAnsi="Times New Roman" w:cs="Times New Roman"/>
          <w:sz w:val="24"/>
          <w:szCs w:val="24"/>
          <w:lang w:val="sq-AL"/>
        </w:rPr>
        <w:t xml:space="preserve"> në Komunën e Drenasit 2024-2029</w:t>
      </w:r>
      <w:r w:rsidRPr="00A07A78">
        <w:rPr>
          <w:rFonts w:ascii="Times New Roman" w:hAnsi="Times New Roman" w:cs="Times New Roman"/>
          <w:sz w:val="24"/>
          <w:szCs w:val="24"/>
          <w:lang w:val="sq-AL"/>
        </w:rPr>
        <w:t>” është miratuar nga Kuvendi i Komunës së Drenasit, bazuar në vendimin me numrin e protokollit: / të datës __/____.</w:t>
      </w:r>
    </w:p>
    <w:p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Dokumenti “Strategjia për zhvillimin dhe fuqizimin e rinisë</w:t>
      </w:r>
      <w:r>
        <w:rPr>
          <w:rFonts w:ascii="Times New Roman" w:hAnsi="Times New Roman" w:cs="Times New Roman"/>
          <w:sz w:val="24"/>
          <w:szCs w:val="24"/>
          <w:lang w:val="sq-AL"/>
        </w:rPr>
        <w:t xml:space="preserve"> në komunën e Drenasit 2024-2029</w:t>
      </w:r>
      <w:r w:rsidRPr="00A07A78">
        <w:rPr>
          <w:rFonts w:ascii="Times New Roman" w:hAnsi="Times New Roman" w:cs="Times New Roman"/>
          <w:sz w:val="24"/>
          <w:szCs w:val="24"/>
          <w:lang w:val="sq-AL"/>
        </w:rPr>
        <w:t xml:space="preserve">” është pjesë e projektit “Angazhimi i të Rinjve, një Zë për Ndikim”, i financuar nga Departamenti i Shtetit të SHBA-së përmes programit “Alumni Engagement Innovation Fund 2023”, mbështetur nga Ambasada e SHBA-së në Kosovë, administruar nga KUSA dhe zbatuar nga dy anëtarë të Alumni, </w:t>
      </w:r>
      <w:r>
        <w:rPr>
          <w:rFonts w:ascii="Times New Roman" w:hAnsi="Times New Roman" w:cs="Times New Roman"/>
          <w:sz w:val="24"/>
          <w:szCs w:val="24"/>
          <w:lang w:val="sq-AL"/>
        </w:rPr>
        <w:t>Laureta Thaqi dhe Xhemile Murati-Shabani, në komunat,  Drenas dhe Ferizaj</w:t>
      </w:r>
      <w:r w:rsidRPr="00A07A78">
        <w:rPr>
          <w:rFonts w:ascii="Times New Roman" w:hAnsi="Times New Roman" w:cs="Times New Roman"/>
          <w:sz w:val="24"/>
          <w:szCs w:val="24"/>
          <w:lang w:val="sq-AL"/>
        </w:rPr>
        <w:t xml:space="preserve"> në bashkëpunim me Organizatën Qendra për Avokim dhe Angazhim Qytetarë AdVOICE.</w:t>
      </w:r>
    </w:p>
    <w:p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Ky dokument është përgatitur nga një grup pune i themeluar sipas vendimit 01-030/01-15523 të datës 28.03.2024 nga Kr</w:t>
      </w:r>
      <w:r>
        <w:rPr>
          <w:rFonts w:ascii="Times New Roman" w:hAnsi="Times New Roman" w:cs="Times New Roman"/>
          <w:sz w:val="24"/>
          <w:szCs w:val="24"/>
          <w:lang w:val="sq-AL"/>
        </w:rPr>
        <w:t>yetari i komunës së Drenasit z.Ramiz Lladrovci</w:t>
      </w:r>
      <w:r>
        <w:rPr>
          <w:rStyle w:val="FootnoteReference"/>
          <w:rFonts w:ascii="Times New Roman" w:hAnsi="Times New Roman" w:cs="Times New Roman"/>
          <w:sz w:val="24"/>
          <w:szCs w:val="24"/>
          <w:lang w:val="sq-AL"/>
        </w:rPr>
        <w:footnoteReference w:id="1"/>
      </w:r>
      <w:r>
        <w:rPr>
          <w:rFonts w:ascii="Times New Roman" w:hAnsi="Times New Roman" w:cs="Times New Roman"/>
          <w:sz w:val="24"/>
          <w:szCs w:val="24"/>
          <w:lang w:val="sq-AL"/>
        </w:rPr>
        <w:t xml:space="preserve">. Grupi punues është i </w:t>
      </w:r>
      <w:r w:rsidRPr="00A07A78">
        <w:rPr>
          <w:rFonts w:ascii="Times New Roman" w:hAnsi="Times New Roman" w:cs="Times New Roman"/>
          <w:sz w:val="24"/>
          <w:szCs w:val="24"/>
          <w:lang w:val="sq-AL"/>
        </w:rPr>
        <w:t>përbërë nga</w:t>
      </w:r>
      <w:r>
        <w:rPr>
          <w:rFonts w:ascii="Times New Roman" w:hAnsi="Times New Roman" w:cs="Times New Roman"/>
          <w:sz w:val="24"/>
          <w:szCs w:val="24"/>
          <w:lang w:val="sq-AL"/>
        </w:rPr>
        <w:t xml:space="preserve"> anëtarë si: Këshilli i Veprimit Rinor Lokal, Handikos, të rinjë nga organizata joqeveritare, përfaqësues nga Këshilli i Nxënësve dhe Këshilli i Prindërve, dhe përfaqësues institucional</w:t>
      </w:r>
      <w:r w:rsidRPr="00A07A78">
        <w:rPr>
          <w:rFonts w:ascii="Times New Roman" w:hAnsi="Times New Roman" w:cs="Times New Roman"/>
          <w:sz w:val="24"/>
          <w:szCs w:val="24"/>
          <w:lang w:val="sq-AL"/>
        </w:rPr>
        <w:t>. Brenda projektit, Qendrim Hoxha është angazhuar konsulent këshillues</w:t>
      </w:r>
      <w:r>
        <w:rPr>
          <w:rFonts w:ascii="Times New Roman" w:hAnsi="Times New Roman" w:cs="Times New Roman"/>
          <w:sz w:val="24"/>
          <w:szCs w:val="24"/>
          <w:lang w:val="sq-AL"/>
        </w:rPr>
        <w:t>, dhe hartues i St</w:t>
      </w:r>
      <w:r w:rsidRPr="00A07A78">
        <w:rPr>
          <w:rFonts w:ascii="Times New Roman" w:hAnsi="Times New Roman" w:cs="Times New Roman"/>
          <w:sz w:val="24"/>
          <w:szCs w:val="24"/>
          <w:lang w:val="sq-AL"/>
        </w:rPr>
        <w:t>rategjisë.</w:t>
      </w: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84097B" w:rsidRDefault="000700CC" w:rsidP="000700CC">
      <w:pPr>
        <w:spacing w:line="360" w:lineRule="auto"/>
        <w:jc w:val="both"/>
        <w:rPr>
          <w:rFonts w:ascii="Times New Roman" w:hAnsi="Times New Roman" w:cs="Times New Roman"/>
          <w:b/>
          <w:sz w:val="24"/>
          <w:szCs w:val="24"/>
          <w:lang w:val="sq-AL"/>
        </w:rPr>
      </w:pPr>
      <w:r w:rsidRPr="0084097B">
        <w:rPr>
          <w:rFonts w:ascii="Times New Roman" w:hAnsi="Times New Roman" w:cs="Times New Roman"/>
          <w:b/>
          <w:sz w:val="24"/>
          <w:szCs w:val="24"/>
          <w:lang w:val="sq-AL"/>
        </w:rPr>
        <w:t>Ekipi Punues</w:t>
      </w:r>
    </w:p>
    <w:p w:rsidR="000700CC" w:rsidRDefault="000700CC" w:rsidP="000700CC">
      <w:p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Anëtarët e Ekipit Komunal për Hartimin e Strategjisë për Zhvillimin dhe Fuqizimin e të rinjve 2024-2029:</w:t>
      </w:r>
    </w:p>
    <w:p w:rsidR="000700CC" w:rsidRDefault="000700CC" w:rsidP="000700CC">
      <w:pPr>
        <w:spacing w:line="360" w:lineRule="auto"/>
        <w:jc w:val="both"/>
        <w:rPr>
          <w:rFonts w:ascii="Times New Roman" w:hAnsi="Times New Roman" w:cs="Times New Roman"/>
          <w:sz w:val="24"/>
          <w:szCs w:val="24"/>
          <w:lang w:val="sq-AL"/>
        </w:rPr>
      </w:pPr>
    </w:p>
    <w:p w:rsidR="000700CC" w:rsidRDefault="000700CC" w:rsidP="000700CC">
      <w:pPr>
        <w:spacing w:line="360" w:lineRule="auto"/>
        <w:jc w:val="both"/>
        <w:rPr>
          <w:rFonts w:ascii="Times New Roman" w:hAnsi="Times New Roman" w:cs="Times New Roman"/>
          <w:sz w:val="24"/>
          <w:szCs w:val="24"/>
          <w:lang w:val="sq-AL"/>
        </w:rPr>
      </w:pPr>
    </w:p>
    <w:p w:rsidR="000700CC" w:rsidRDefault="000700CC" w:rsidP="000700CC">
      <w:pPr>
        <w:spacing w:line="360" w:lineRule="auto"/>
        <w:jc w:val="both"/>
        <w:rPr>
          <w:rFonts w:ascii="Times New Roman" w:hAnsi="Times New Roman" w:cs="Times New Roman"/>
          <w:sz w:val="24"/>
          <w:szCs w:val="24"/>
          <w:lang w:val="sq-AL"/>
        </w:rPr>
      </w:pPr>
    </w:p>
    <w:p w:rsidR="000700CC" w:rsidRDefault="000700CC" w:rsidP="000700CC">
      <w:pPr>
        <w:spacing w:line="360" w:lineRule="auto"/>
        <w:jc w:val="both"/>
        <w:rPr>
          <w:rFonts w:ascii="Times New Roman" w:hAnsi="Times New Roman" w:cs="Times New Roman"/>
          <w:sz w:val="24"/>
          <w:szCs w:val="24"/>
          <w:lang w:val="sq-AL"/>
        </w:rPr>
      </w:pPr>
    </w:p>
    <w:p w:rsidR="000700CC" w:rsidRDefault="000700CC" w:rsidP="000700CC">
      <w:pPr>
        <w:spacing w:line="360" w:lineRule="auto"/>
        <w:jc w:val="both"/>
        <w:rPr>
          <w:rFonts w:ascii="Times New Roman" w:hAnsi="Times New Roman" w:cs="Times New Roman"/>
          <w:sz w:val="24"/>
          <w:szCs w:val="24"/>
          <w:lang w:val="sq-AL"/>
        </w:rPr>
      </w:pPr>
    </w:p>
    <w:p w:rsidR="000700CC" w:rsidRDefault="000700CC" w:rsidP="000700CC">
      <w:pPr>
        <w:spacing w:line="360" w:lineRule="auto"/>
        <w:jc w:val="both"/>
        <w:rPr>
          <w:rFonts w:ascii="Times New Roman" w:hAnsi="Times New Roman" w:cs="Times New Roman"/>
          <w:sz w:val="24"/>
          <w:szCs w:val="24"/>
          <w:lang w:val="sq-AL"/>
        </w:rPr>
      </w:pPr>
    </w:p>
    <w:p w:rsidR="000700CC" w:rsidRDefault="000700CC" w:rsidP="000700CC">
      <w:pPr>
        <w:spacing w:line="360" w:lineRule="auto"/>
        <w:jc w:val="both"/>
        <w:rPr>
          <w:rFonts w:ascii="Times New Roman" w:hAnsi="Times New Roman" w:cs="Times New Roman"/>
          <w:sz w:val="24"/>
          <w:szCs w:val="24"/>
          <w:lang w:val="sq-AL"/>
        </w:rPr>
      </w:pPr>
    </w:p>
    <w:p w:rsidR="000700CC" w:rsidRDefault="000700CC" w:rsidP="000700CC">
      <w:pPr>
        <w:spacing w:line="360" w:lineRule="auto"/>
        <w:jc w:val="both"/>
        <w:rPr>
          <w:rFonts w:ascii="Times New Roman" w:hAnsi="Times New Roman" w:cs="Times New Roman"/>
          <w:sz w:val="24"/>
          <w:szCs w:val="24"/>
          <w:lang w:val="sq-AL"/>
        </w:rPr>
      </w:pPr>
    </w:p>
    <w:p w:rsidR="000700CC" w:rsidRDefault="000700CC" w:rsidP="000700CC">
      <w:pPr>
        <w:spacing w:line="360" w:lineRule="auto"/>
        <w:jc w:val="both"/>
        <w:rPr>
          <w:rFonts w:ascii="Times New Roman" w:hAnsi="Times New Roman" w:cs="Times New Roman"/>
          <w:sz w:val="24"/>
          <w:szCs w:val="24"/>
          <w:lang w:val="sq-AL"/>
        </w:rPr>
      </w:pPr>
    </w:p>
    <w:p w:rsidR="000700CC" w:rsidRDefault="000700CC" w:rsidP="000700CC">
      <w:pPr>
        <w:spacing w:line="360" w:lineRule="auto"/>
        <w:jc w:val="both"/>
        <w:rPr>
          <w:rFonts w:ascii="Times New Roman" w:hAnsi="Times New Roman" w:cs="Times New Roman"/>
          <w:sz w:val="24"/>
          <w:szCs w:val="24"/>
          <w:lang w:val="sq-AL"/>
        </w:rPr>
      </w:pPr>
    </w:p>
    <w:p w:rsidR="000700CC" w:rsidRDefault="000700CC" w:rsidP="000700CC">
      <w:pPr>
        <w:spacing w:line="360" w:lineRule="auto"/>
        <w:jc w:val="both"/>
        <w:rPr>
          <w:rFonts w:ascii="Times New Roman" w:hAnsi="Times New Roman" w:cs="Times New Roman"/>
          <w:sz w:val="24"/>
          <w:szCs w:val="24"/>
          <w:lang w:val="sq-AL"/>
        </w:rPr>
      </w:pPr>
    </w:p>
    <w:p w:rsidR="000700CC" w:rsidRDefault="000700CC" w:rsidP="000700CC">
      <w:pPr>
        <w:spacing w:line="360" w:lineRule="auto"/>
        <w:jc w:val="both"/>
        <w:rPr>
          <w:rFonts w:ascii="Times New Roman" w:hAnsi="Times New Roman" w:cs="Times New Roman"/>
          <w:sz w:val="24"/>
          <w:szCs w:val="24"/>
          <w:lang w:val="sq-AL"/>
        </w:rPr>
      </w:pPr>
    </w:p>
    <w:p w:rsidR="000700CC"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sdt>
      <w:sdtPr>
        <w:rPr>
          <w:rFonts w:ascii="Times New Roman" w:eastAsiaTheme="minorEastAsia" w:hAnsi="Times New Roman" w:cs="Times New Roman"/>
          <w:color w:val="auto"/>
          <w:kern w:val="2"/>
          <w:sz w:val="24"/>
          <w:szCs w:val="24"/>
          <w:lang w:val="sq-AL"/>
          <w14:ligatures w14:val="standardContextual"/>
        </w:rPr>
        <w:id w:val="-1383701584"/>
        <w:docPartObj>
          <w:docPartGallery w:val="Table of Contents"/>
          <w:docPartUnique/>
        </w:docPartObj>
      </w:sdtPr>
      <w:sdtEndPr>
        <w:rPr>
          <w:rFonts w:asciiTheme="minorHAnsi" w:eastAsiaTheme="minorHAnsi" w:hAnsiTheme="minorHAnsi" w:cstheme="minorBidi"/>
          <w:b/>
        </w:rPr>
      </w:sdtEndPr>
      <w:sdtContent>
        <w:p w:rsidR="000700CC" w:rsidRPr="001E5920" w:rsidRDefault="000700CC" w:rsidP="000700CC">
          <w:pPr>
            <w:pStyle w:val="TOCHeading"/>
            <w:spacing w:line="360" w:lineRule="auto"/>
            <w:jc w:val="both"/>
            <w:rPr>
              <w:rFonts w:ascii="Times New Roman" w:hAnsi="Times New Roman" w:cs="Times New Roman"/>
              <w:b/>
              <w:color w:val="auto"/>
              <w:sz w:val="28"/>
              <w:szCs w:val="28"/>
              <w:lang w:val="sq-AL"/>
            </w:rPr>
          </w:pPr>
          <w:r w:rsidRPr="001E5920">
            <w:rPr>
              <w:rFonts w:ascii="Times New Roman" w:hAnsi="Times New Roman" w:cs="Times New Roman"/>
              <w:b/>
              <w:color w:val="auto"/>
              <w:sz w:val="28"/>
              <w:szCs w:val="28"/>
              <w:lang w:val="sq-AL"/>
            </w:rPr>
            <w:t>Përmbajtja</w:t>
          </w: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pStyle w:val="TOC1"/>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Lista e Akronimeve</w:t>
          </w:r>
          <w:r w:rsidRPr="00A07A78">
            <w:rPr>
              <w:rFonts w:ascii="Times New Roman" w:hAnsi="Times New Roman"/>
              <w:sz w:val="24"/>
              <w:szCs w:val="24"/>
              <w:lang w:val="sq-AL"/>
            </w:rPr>
            <w:ptab w:relativeTo="margin" w:alignment="right" w:leader="dot"/>
          </w:r>
          <w:r w:rsidRPr="00A07A78">
            <w:rPr>
              <w:rFonts w:ascii="Times New Roman" w:hAnsi="Times New Roman"/>
              <w:sz w:val="24"/>
              <w:szCs w:val="24"/>
              <w:lang w:val="sq-AL"/>
            </w:rPr>
            <w:t>5</w:t>
          </w:r>
        </w:p>
        <w:p w:rsidR="000700CC" w:rsidRPr="00A07A78" w:rsidRDefault="000700CC" w:rsidP="000700CC">
          <w:pPr>
            <w:pStyle w:val="TOC1"/>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Fjala e Kryetarit të Komunës</w:t>
          </w:r>
          <w:r w:rsidRPr="00A07A78">
            <w:rPr>
              <w:rFonts w:ascii="Times New Roman" w:hAnsi="Times New Roman"/>
              <w:sz w:val="24"/>
              <w:szCs w:val="24"/>
              <w:lang w:val="sq-AL"/>
            </w:rPr>
            <w:ptab w:relativeTo="margin" w:alignment="right" w:leader="dot"/>
          </w:r>
          <w:r w:rsidRPr="00A07A78">
            <w:rPr>
              <w:rFonts w:ascii="Times New Roman" w:hAnsi="Times New Roman"/>
              <w:sz w:val="24"/>
              <w:szCs w:val="24"/>
              <w:lang w:val="sq-AL"/>
            </w:rPr>
            <w:t>6</w:t>
          </w:r>
        </w:p>
        <w:p w:rsidR="000700CC" w:rsidRPr="00A07A78" w:rsidRDefault="000700CC" w:rsidP="000700CC">
          <w:pPr>
            <w:pStyle w:val="TOC1"/>
            <w:numPr>
              <w:ilvl w:val="0"/>
              <w:numId w:val="8"/>
            </w:numPr>
            <w:spacing w:line="360" w:lineRule="auto"/>
            <w:jc w:val="both"/>
            <w:rPr>
              <w:rFonts w:ascii="Times New Roman" w:hAnsi="Times New Roman"/>
              <w:b/>
              <w:bCs/>
              <w:sz w:val="24"/>
              <w:szCs w:val="24"/>
              <w:lang w:val="sq-AL"/>
            </w:rPr>
          </w:pPr>
          <w:r w:rsidRPr="00A07A78">
            <w:rPr>
              <w:rFonts w:ascii="Times New Roman" w:hAnsi="Times New Roman"/>
              <w:b/>
              <w:bCs/>
              <w:sz w:val="24"/>
              <w:szCs w:val="24"/>
              <w:lang w:val="sq-AL"/>
            </w:rPr>
            <w:t>Hyrje</w:t>
          </w:r>
          <w:r w:rsidRPr="00A07A78">
            <w:rPr>
              <w:rFonts w:ascii="Times New Roman" w:hAnsi="Times New Roman"/>
              <w:sz w:val="24"/>
              <w:szCs w:val="24"/>
              <w:lang w:val="sq-AL"/>
            </w:rPr>
            <w:ptab w:relativeTo="margin" w:alignment="right" w:leader="dot"/>
          </w:r>
          <w:r w:rsidRPr="00A07A78">
            <w:rPr>
              <w:rFonts w:ascii="Times New Roman" w:hAnsi="Times New Roman"/>
              <w:sz w:val="24"/>
              <w:szCs w:val="24"/>
              <w:lang w:val="sq-AL"/>
            </w:rPr>
            <w:t>7</w:t>
          </w:r>
        </w:p>
        <w:p w:rsidR="000700CC" w:rsidRPr="00A07A78" w:rsidRDefault="000700CC" w:rsidP="000700CC">
          <w:pPr>
            <w:pStyle w:val="TOC1"/>
            <w:numPr>
              <w:ilvl w:val="0"/>
              <w:numId w:val="8"/>
            </w:numPr>
            <w:spacing w:line="360" w:lineRule="auto"/>
            <w:jc w:val="both"/>
            <w:rPr>
              <w:rFonts w:ascii="Times New Roman" w:hAnsi="Times New Roman"/>
              <w:b/>
              <w:bCs/>
              <w:sz w:val="24"/>
              <w:szCs w:val="24"/>
              <w:lang w:val="sq-AL"/>
            </w:rPr>
          </w:pPr>
          <w:r w:rsidRPr="00A07A78">
            <w:rPr>
              <w:rFonts w:ascii="Times New Roman" w:hAnsi="Times New Roman"/>
              <w:b/>
              <w:bCs/>
              <w:sz w:val="24"/>
              <w:szCs w:val="24"/>
              <w:lang w:val="sq-AL"/>
            </w:rPr>
            <w:t>Baza Ligjore</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9</w:t>
          </w:r>
        </w:p>
        <w:p w:rsidR="000700CC" w:rsidRPr="00A07A78" w:rsidRDefault="000700CC" w:rsidP="000700CC">
          <w:pPr>
            <w:pStyle w:val="TOC1"/>
            <w:numPr>
              <w:ilvl w:val="0"/>
              <w:numId w:val="8"/>
            </w:numPr>
            <w:spacing w:line="360" w:lineRule="auto"/>
            <w:jc w:val="both"/>
            <w:rPr>
              <w:rFonts w:ascii="Times New Roman" w:hAnsi="Times New Roman"/>
              <w:b/>
              <w:bCs/>
              <w:sz w:val="24"/>
              <w:szCs w:val="24"/>
              <w:lang w:val="sq-AL"/>
            </w:rPr>
          </w:pPr>
          <w:r w:rsidRPr="00A07A78">
            <w:rPr>
              <w:rFonts w:ascii="Times New Roman" w:hAnsi="Times New Roman"/>
              <w:b/>
              <w:bCs/>
              <w:sz w:val="24"/>
              <w:szCs w:val="24"/>
              <w:lang w:val="sq-AL"/>
            </w:rPr>
            <w:t>Metodologjia</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10</w:t>
          </w:r>
        </w:p>
        <w:p w:rsidR="000700CC" w:rsidRPr="00A07A78" w:rsidRDefault="000700CC" w:rsidP="000700CC">
          <w:pPr>
            <w:pStyle w:val="TOC1"/>
            <w:numPr>
              <w:ilvl w:val="0"/>
              <w:numId w:val="8"/>
            </w:numPr>
            <w:spacing w:line="360" w:lineRule="auto"/>
            <w:jc w:val="both"/>
            <w:rPr>
              <w:rFonts w:ascii="Times New Roman" w:hAnsi="Times New Roman"/>
              <w:b/>
              <w:bCs/>
              <w:sz w:val="24"/>
              <w:szCs w:val="24"/>
              <w:lang w:val="sq-AL"/>
            </w:rPr>
          </w:pPr>
          <w:r w:rsidRPr="00A07A78">
            <w:rPr>
              <w:rFonts w:ascii="Times New Roman" w:hAnsi="Times New Roman"/>
              <w:b/>
              <w:bCs/>
              <w:sz w:val="24"/>
              <w:szCs w:val="24"/>
              <w:lang w:val="sq-AL"/>
            </w:rPr>
            <w:t>Qëllimi i Strategjisë</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11</w:t>
          </w:r>
        </w:p>
        <w:p w:rsidR="000700CC" w:rsidRPr="00A07A78" w:rsidRDefault="000700CC" w:rsidP="000700CC">
          <w:pPr>
            <w:pStyle w:val="TOC1"/>
            <w:numPr>
              <w:ilvl w:val="0"/>
              <w:numId w:val="8"/>
            </w:numPr>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Sfidat Aktuale të të Rinjve të Drenasit</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12</w:t>
          </w:r>
        </w:p>
        <w:p w:rsidR="000700CC" w:rsidRPr="00A07A78" w:rsidRDefault="000700CC" w:rsidP="000700CC">
          <w:pPr>
            <w:pStyle w:val="TOC1"/>
            <w:numPr>
              <w:ilvl w:val="0"/>
              <w:numId w:val="8"/>
            </w:numPr>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Vlerësimi i Nevojave</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14</w:t>
          </w:r>
        </w:p>
        <w:p w:rsidR="000700CC" w:rsidRPr="00A07A78" w:rsidRDefault="000700CC" w:rsidP="000700CC">
          <w:pPr>
            <w:pStyle w:val="TOC1"/>
            <w:numPr>
              <w:ilvl w:val="0"/>
              <w:numId w:val="8"/>
            </w:numPr>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Vizioni</w:t>
          </w:r>
          <w:r>
            <w:rPr>
              <w:rFonts w:ascii="Times New Roman" w:hAnsi="Times New Roman"/>
              <w:b/>
              <w:bCs/>
              <w:sz w:val="24"/>
              <w:szCs w:val="24"/>
              <w:lang w:val="sq-AL"/>
            </w:rPr>
            <w:t xml:space="preserve"> dhe politikat e DKRS—së</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15</w:t>
          </w:r>
        </w:p>
        <w:p w:rsidR="000700CC" w:rsidRPr="00A07A78" w:rsidRDefault="000700CC" w:rsidP="000700CC">
          <w:pPr>
            <w:pStyle w:val="TOC1"/>
            <w:numPr>
              <w:ilvl w:val="0"/>
              <w:numId w:val="8"/>
            </w:numPr>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Objektivat</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16</w:t>
          </w:r>
        </w:p>
        <w:p w:rsidR="000700CC" w:rsidRPr="00A07A78" w:rsidRDefault="000700CC" w:rsidP="000700CC">
          <w:pPr>
            <w:pStyle w:val="TOC1"/>
            <w:numPr>
              <w:ilvl w:val="0"/>
              <w:numId w:val="8"/>
            </w:numPr>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Monitorimi dhe Vlerësimi</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22</w:t>
          </w:r>
        </w:p>
        <w:p w:rsidR="000700CC" w:rsidRPr="00A07A78" w:rsidRDefault="000700CC" w:rsidP="000700CC">
          <w:pPr>
            <w:pStyle w:val="TOC1"/>
            <w:numPr>
              <w:ilvl w:val="0"/>
              <w:numId w:val="8"/>
            </w:numPr>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Miratimi dhe Zbatimi</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23</w:t>
          </w:r>
        </w:p>
        <w:p w:rsidR="000700CC" w:rsidRDefault="000700CC" w:rsidP="000700CC">
          <w:pPr>
            <w:pStyle w:val="TOC1"/>
            <w:numPr>
              <w:ilvl w:val="0"/>
              <w:numId w:val="8"/>
            </w:numPr>
            <w:spacing w:line="360" w:lineRule="auto"/>
            <w:jc w:val="both"/>
            <w:rPr>
              <w:rFonts w:ascii="Times New Roman" w:hAnsi="Times New Roman"/>
              <w:sz w:val="24"/>
              <w:szCs w:val="24"/>
              <w:lang w:val="sq-AL"/>
            </w:rPr>
          </w:pPr>
          <w:r w:rsidRPr="00A07A78">
            <w:rPr>
              <w:rFonts w:ascii="Times New Roman" w:hAnsi="Times New Roman"/>
              <w:b/>
              <w:bCs/>
              <w:sz w:val="24"/>
              <w:szCs w:val="24"/>
              <w:lang w:val="sq-AL"/>
            </w:rPr>
            <w:t>Komunikimi dhe Angazhimi i Vazhdueshëm</w:t>
          </w:r>
          <w:r w:rsidRPr="00A07A78">
            <w:rPr>
              <w:rFonts w:ascii="Times New Roman" w:hAnsi="Times New Roman"/>
              <w:sz w:val="24"/>
              <w:szCs w:val="24"/>
              <w:lang w:val="sq-AL"/>
            </w:rPr>
            <w:ptab w:relativeTo="margin" w:alignment="right" w:leader="dot"/>
          </w:r>
          <w:r>
            <w:rPr>
              <w:rFonts w:ascii="Times New Roman" w:hAnsi="Times New Roman"/>
              <w:sz w:val="24"/>
              <w:szCs w:val="24"/>
              <w:lang w:val="sq-AL"/>
            </w:rPr>
            <w:t>23</w:t>
          </w:r>
        </w:p>
        <w:p w:rsidR="000700CC" w:rsidRPr="003D6C63" w:rsidRDefault="000700CC" w:rsidP="000700CC">
          <w:pPr>
            <w:pStyle w:val="ListParagraph"/>
            <w:numPr>
              <w:ilvl w:val="0"/>
              <w:numId w:val="8"/>
            </w:numPr>
            <w:rPr>
              <w:b/>
              <w:sz w:val="24"/>
              <w:szCs w:val="24"/>
              <w:lang w:val="sq-AL"/>
            </w:rPr>
          </w:pPr>
          <w:r w:rsidRPr="003D6C63">
            <w:rPr>
              <w:b/>
              <w:sz w:val="24"/>
              <w:szCs w:val="24"/>
              <w:lang w:val="sq-AL"/>
            </w:rPr>
            <w:t>Plan</w:t>
          </w:r>
          <w:bookmarkStart w:id="0" w:name="_GoBack"/>
          <w:bookmarkEnd w:id="0"/>
          <w:r w:rsidRPr="003D6C63">
            <w:rPr>
              <w:b/>
              <w:sz w:val="24"/>
              <w:szCs w:val="24"/>
              <w:lang w:val="sq-AL"/>
            </w:rPr>
            <w:t>i i Veprimit</w:t>
          </w:r>
          <w:r w:rsidRPr="003D6C63">
            <w:rPr>
              <w:sz w:val="24"/>
              <w:szCs w:val="24"/>
              <w:lang w:val="sq-AL"/>
            </w:rPr>
            <w:t>.............................................................................</w:t>
          </w:r>
          <w:r w:rsidR="003D6C63" w:rsidRPr="003D6C63">
            <w:rPr>
              <w:sz w:val="24"/>
              <w:szCs w:val="24"/>
              <w:lang w:val="sq-AL"/>
            </w:rPr>
            <w:t>..........................</w:t>
          </w:r>
          <w:r w:rsidRPr="003D6C63">
            <w:rPr>
              <w:sz w:val="24"/>
              <w:szCs w:val="24"/>
              <w:lang w:val="sq-AL"/>
            </w:rPr>
            <w:t>.............24</w:t>
          </w:r>
        </w:p>
      </w:sdtContent>
    </w:sdt>
    <w:p w:rsidR="000700CC" w:rsidRPr="003D6C63" w:rsidRDefault="000700CC" w:rsidP="000700CC">
      <w:pPr>
        <w:spacing w:line="360" w:lineRule="auto"/>
        <w:jc w:val="both"/>
        <w:rPr>
          <w:rFonts w:ascii="Times New Roman" w:hAnsi="Times New Roman" w:cs="Times New Roman"/>
          <w:sz w:val="24"/>
          <w:szCs w:val="24"/>
          <w:lang w:val="sq-AL"/>
        </w:rPr>
      </w:pPr>
    </w:p>
    <w:p w:rsidR="000700CC" w:rsidRPr="003D6C63" w:rsidRDefault="000700CC" w:rsidP="000700CC">
      <w:pPr>
        <w:spacing w:line="360" w:lineRule="auto"/>
        <w:jc w:val="both"/>
        <w:rPr>
          <w:rFonts w:ascii="Times New Roman" w:hAnsi="Times New Roman" w:cs="Times New Roman"/>
          <w:sz w:val="24"/>
          <w:szCs w:val="24"/>
          <w:lang w:val="sq-AL"/>
        </w:rPr>
      </w:pPr>
    </w:p>
    <w:p w:rsidR="000700CC" w:rsidRPr="003D6C63"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Default="000700CC" w:rsidP="000700CC">
      <w:pPr>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LISTA E AKRONIMEVE</w:t>
      </w:r>
    </w:p>
    <w:p w:rsidR="000700CC" w:rsidRPr="001E5920" w:rsidRDefault="000700CC" w:rsidP="000700CC">
      <w:pPr>
        <w:spacing w:line="360" w:lineRule="auto"/>
        <w:jc w:val="both"/>
        <w:rPr>
          <w:rFonts w:ascii="Times New Roman" w:hAnsi="Times New Roman" w:cs="Times New Roman"/>
          <w:b/>
          <w:bCs/>
          <w:sz w:val="24"/>
          <w:szCs w:val="24"/>
          <w:lang w:val="sq-AL"/>
        </w:rPr>
      </w:pPr>
      <w:r>
        <w:rPr>
          <w:rFonts w:ascii="Times New Roman" w:hAnsi="Times New Roman" w:cs="Times New Roman"/>
          <w:b/>
          <w:bCs/>
          <w:sz w:val="24"/>
          <w:szCs w:val="24"/>
          <w:lang w:val="sq-AL"/>
        </w:rPr>
        <w:br/>
      </w:r>
      <w:r w:rsidRPr="00A07A78">
        <w:rPr>
          <w:rFonts w:ascii="Times New Roman" w:hAnsi="Times New Roman" w:cs="Times New Roman"/>
          <w:sz w:val="24"/>
          <w:szCs w:val="24"/>
          <w:lang w:val="sq-AL"/>
        </w:rPr>
        <w:t>KD - Komuna e Drenasit</w:t>
      </w:r>
    </w:p>
    <w:p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KKG - Kuvendi i Komunës së Drenasit</w:t>
      </w:r>
    </w:p>
    <w:p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KPF - Komiteti për Politikë dhe Financa</w:t>
      </w:r>
    </w:p>
    <w:p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KAKRS - Komiteti për Arsim, Kulturë, Rini dhe Sport</w:t>
      </w:r>
    </w:p>
    <w:p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DKRS - Drejtoria për Kulturë, Rini dhe Sport</w:t>
      </w:r>
    </w:p>
    <w:p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DKA - Drejtoria Komunale për Arsim</w:t>
      </w:r>
    </w:p>
    <w:p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DSHMS - Drejtoria e Shëndetësisë dhe </w:t>
      </w:r>
      <w:r>
        <w:rPr>
          <w:rFonts w:ascii="Times New Roman" w:hAnsi="Times New Roman" w:cs="Times New Roman"/>
          <w:sz w:val="24"/>
          <w:szCs w:val="24"/>
          <w:lang w:val="sq-AL"/>
        </w:rPr>
        <w:t>Mirëqenies</w:t>
      </w:r>
      <w:r w:rsidRPr="00A07A78">
        <w:rPr>
          <w:rFonts w:ascii="Times New Roman" w:hAnsi="Times New Roman" w:cs="Times New Roman"/>
          <w:sz w:val="24"/>
          <w:szCs w:val="24"/>
          <w:lang w:val="sq-AL"/>
        </w:rPr>
        <w:t xml:space="preserve"> Sociale</w:t>
      </w:r>
    </w:p>
    <w:p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KVRL - Këshilli i Veprimit Rinor Lokal</w:t>
      </w:r>
    </w:p>
    <w:p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MKRS - Ministria e Kulturës, Rinisë dhe Sportit</w:t>
      </w:r>
    </w:p>
    <w:p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MASHTI - Ministria e Arsimit, Shkencës, Teknologjisë dhe Inovacionit</w:t>
      </w:r>
    </w:p>
    <w:p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OJQ - Organizatat Jo-Qeveritare</w:t>
      </w:r>
    </w:p>
    <w:p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SShR - Strategjia Shtetërore për Rininë</w:t>
      </w:r>
    </w:p>
    <w:p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QRK - Qeveria e Republikës së Kosovës</w:t>
      </w:r>
    </w:p>
    <w:p w:rsidR="000700CC" w:rsidRPr="00A07A78" w:rsidRDefault="000700CC" w:rsidP="000700CC">
      <w:pPr>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M&amp;V - Monitorimi dhe Vlerësimi</w:t>
      </w: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tabs>
          <w:tab w:val="left" w:pos="4070"/>
        </w:tabs>
        <w:spacing w:line="360" w:lineRule="auto"/>
        <w:jc w:val="both"/>
        <w:rPr>
          <w:rFonts w:ascii="Times New Roman" w:hAnsi="Times New Roman" w:cs="Times New Roman"/>
          <w:sz w:val="24"/>
          <w:szCs w:val="24"/>
          <w:lang w:val="sq-AL"/>
        </w:rPr>
      </w:pPr>
    </w:p>
    <w:p w:rsidR="000700CC" w:rsidRPr="00A07A78" w:rsidRDefault="000700CC" w:rsidP="000700CC">
      <w:pPr>
        <w:tabs>
          <w:tab w:val="left" w:pos="4070"/>
        </w:tabs>
        <w:spacing w:line="360" w:lineRule="auto"/>
        <w:jc w:val="both"/>
        <w:rPr>
          <w:rFonts w:ascii="Times New Roman" w:hAnsi="Times New Roman" w:cs="Times New Roman"/>
          <w:sz w:val="24"/>
          <w:szCs w:val="24"/>
          <w:lang w:val="sq-AL"/>
        </w:rPr>
      </w:pPr>
    </w:p>
    <w:p w:rsidR="000700CC" w:rsidRPr="00A07A78" w:rsidRDefault="000700CC" w:rsidP="000700CC">
      <w:pPr>
        <w:tabs>
          <w:tab w:val="left" w:pos="4070"/>
        </w:tabs>
        <w:spacing w:line="360" w:lineRule="auto"/>
        <w:jc w:val="both"/>
        <w:rPr>
          <w:rFonts w:ascii="Times New Roman" w:hAnsi="Times New Roman" w:cs="Times New Roman"/>
          <w:sz w:val="24"/>
          <w:szCs w:val="24"/>
          <w:lang w:val="sq-AL"/>
        </w:rPr>
      </w:pPr>
    </w:p>
    <w:p w:rsidR="000700CC" w:rsidRPr="00A07A78" w:rsidRDefault="000700CC" w:rsidP="000700CC">
      <w:pPr>
        <w:tabs>
          <w:tab w:val="left" w:pos="4070"/>
        </w:tabs>
        <w:spacing w:line="360" w:lineRule="auto"/>
        <w:jc w:val="both"/>
        <w:rPr>
          <w:rFonts w:ascii="Times New Roman" w:hAnsi="Times New Roman" w:cs="Times New Roman"/>
          <w:sz w:val="24"/>
          <w:szCs w:val="24"/>
          <w:lang w:val="sq-AL"/>
        </w:rPr>
      </w:pPr>
    </w:p>
    <w:p w:rsidR="000700CC" w:rsidRPr="0084097B" w:rsidRDefault="000700CC" w:rsidP="000700CC">
      <w:pPr>
        <w:tabs>
          <w:tab w:val="left" w:pos="4070"/>
        </w:tabs>
        <w:spacing w:line="360" w:lineRule="auto"/>
        <w:jc w:val="both"/>
        <w:rPr>
          <w:rFonts w:ascii="Times New Roman" w:hAnsi="Times New Roman" w:cs="Times New Roman"/>
          <w:b/>
          <w:i/>
          <w:iCs/>
          <w:color w:val="000000" w:themeColor="text1"/>
          <w:sz w:val="24"/>
          <w:szCs w:val="24"/>
          <w:lang w:val="sq-AL"/>
        </w:rPr>
      </w:pPr>
      <w:r w:rsidRPr="0084097B">
        <w:rPr>
          <w:rFonts w:ascii="Times New Roman" w:hAnsi="Times New Roman" w:cs="Times New Roman"/>
          <w:b/>
          <w:i/>
          <w:iCs/>
          <w:color w:val="000000" w:themeColor="text1"/>
          <w:sz w:val="24"/>
          <w:szCs w:val="24"/>
          <w:lang w:val="sq-AL"/>
        </w:rPr>
        <w:t>Fjala e Kryetarit</w:t>
      </w: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sz w:val="24"/>
          <w:szCs w:val="24"/>
          <w:lang w:val="sq-AL"/>
        </w:rPr>
      </w:pPr>
    </w:p>
    <w:p w:rsidR="000700CC" w:rsidRPr="00A07A78" w:rsidRDefault="000700CC" w:rsidP="000700CC">
      <w:pPr>
        <w:spacing w:line="360" w:lineRule="auto"/>
        <w:jc w:val="both"/>
        <w:rPr>
          <w:rFonts w:ascii="Times New Roman" w:hAnsi="Times New Roman" w:cs="Times New Roman"/>
          <w:i/>
          <w:iCs/>
          <w:color w:val="FF0000"/>
          <w:sz w:val="24"/>
          <w:szCs w:val="24"/>
          <w:lang w:val="sq-AL"/>
        </w:rPr>
      </w:pP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ab/>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p>
    <w:p w:rsidR="000700CC" w:rsidRDefault="000700CC" w:rsidP="000700CC">
      <w:pPr>
        <w:tabs>
          <w:tab w:val="left" w:pos="3706"/>
        </w:tabs>
        <w:spacing w:line="360" w:lineRule="auto"/>
        <w:jc w:val="both"/>
        <w:rPr>
          <w:rFonts w:ascii="Times New Roman" w:hAnsi="Times New Roman" w:cs="Times New Roman"/>
          <w:sz w:val="24"/>
          <w:szCs w:val="24"/>
          <w:lang w:val="sq-AL"/>
        </w:rPr>
      </w:pP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p>
    <w:p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lastRenderedPageBreak/>
        <w:t>HYRJE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Territori i Komunës së Drenasit zë një vend në pjesën qendrore të Kosovës. Kjo komunë përmban një sipërfaqe totale prej 290 km², që përfaqëson 2.66% të territorit të përgjithshëm të Kosovës. Rajoni përbëhet nga 42 vendbanime dhe është i rrethuar nga Malet e Berishës, Kasmaqit, Qyqavicës, Goleshit dhe Lipovicës (Blinajës), të cilat formojnë kufijtë natyrorë përgjatë Luginës së lumit Drenica. Lugina e Drenicës karakterizohet nga toka e pjellshme që përfshihet nga sistemi i ujitjes "Ibër". Një element dallues tjetër i kësaj zone është prania e minierës dhe shkëmbimit të "Feronikelit", si dhe disa gurore. Përveç kësaj, përmes komunës kalojnë lumët Drenica dhe Vërbicë, ujërat e të cilëve përdoren për ujitjen e tokave bujqësore.</w:t>
      </w:r>
    </w:p>
    <w:p w:rsidR="000700CC" w:rsidRDefault="000700CC" w:rsidP="000700CC">
      <w:pPr>
        <w:tabs>
          <w:tab w:val="left" w:pos="3706"/>
        </w:tabs>
        <w:spacing w:line="360" w:lineRule="auto"/>
        <w:jc w:val="both"/>
        <w:rPr>
          <w:rFonts w:ascii="Times New Roman" w:hAnsi="Times New Roman" w:cs="Times New Roman"/>
          <w:i/>
          <w:color w:val="000000" w:themeColor="text1"/>
          <w:sz w:val="24"/>
          <w:szCs w:val="24"/>
          <w:lang w:val="sq-AL"/>
        </w:rPr>
      </w:pPr>
      <w:r w:rsidRPr="00A07A78">
        <w:rPr>
          <w:rFonts w:ascii="Times New Roman" w:hAnsi="Times New Roman" w:cs="Times New Roman"/>
          <w:sz w:val="24"/>
          <w:szCs w:val="24"/>
          <w:lang w:val="sq-AL"/>
        </w:rPr>
        <w:t xml:space="preserve">Nga perspektiva e lidhjeve tokësore, komuna është e lidhur me pjesët tjera të Kosovës përmes hekurudhës Fushë Kosovë-Pejë dhe rrugës magjistrale Prishtinë- Komoran-Pejë, si dhe rrugëve ndërkommunale Shalë-Lipjan dhe Komoran-Drenas-Skënderaj. </w:t>
      </w:r>
      <w:r w:rsidRPr="00F47A65">
        <w:rPr>
          <w:rFonts w:ascii="Times New Roman" w:hAnsi="Times New Roman" w:cs="Times New Roman"/>
          <w:sz w:val="24"/>
          <w:szCs w:val="24"/>
          <w:lang w:val="sq-AL"/>
        </w:rPr>
        <w:t>“Sipas regjistrimeve të popullsisë të realizuar në vitin 2011, rezulton që numri i popullsisë në Komunën e Drenasit ka qenë 58,531 banorë, nga të cilët 29728 i takojnë gjinisë mashkullore, ndërsa 28803 gjinisë femërore.”</w:t>
      </w:r>
      <w:r w:rsidRPr="00F47A65">
        <w:rPr>
          <w:rStyle w:val="FootnoteReference"/>
          <w:rFonts w:ascii="Times New Roman" w:hAnsi="Times New Roman" w:cs="Times New Roman"/>
          <w:sz w:val="24"/>
          <w:szCs w:val="24"/>
          <w:lang w:val="sq-AL"/>
        </w:rPr>
        <w:footnoteReference w:id="2"/>
      </w:r>
      <w:r w:rsidRPr="00CA25ED">
        <w:rPr>
          <w:rFonts w:ascii="Times New Roman" w:hAnsi="Times New Roman" w:cs="Times New Roman"/>
          <w:i/>
          <w:color w:val="000000" w:themeColor="text1"/>
          <w:sz w:val="24"/>
          <w:szCs w:val="24"/>
          <w:lang w:val="sq-AL"/>
        </w:rPr>
        <w:t xml:space="preserve"> </w:t>
      </w:r>
    </w:p>
    <w:p w:rsidR="000700CC" w:rsidRPr="0018550A" w:rsidRDefault="000700CC" w:rsidP="000700CC">
      <w:pPr>
        <w:tabs>
          <w:tab w:val="left" w:pos="3706"/>
        </w:tabs>
        <w:spacing w:line="360" w:lineRule="auto"/>
        <w:jc w:val="both"/>
        <w:rPr>
          <w:rFonts w:ascii="Times New Roman" w:hAnsi="Times New Roman" w:cs="Times New Roman"/>
          <w:i/>
          <w:sz w:val="24"/>
          <w:szCs w:val="24"/>
          <w:lang w:val="sq-AL"/>
        </w:rPr>
      </w:pPr>
      <w:r>
        <w:rPr>
          <w:rFonts w:ascii="Times New Roman" w:hAnsi="Times New Roman" w:cs="Times New Roman"/>
          <w:sz w:val="24"/>
          <w:szCs w:val="24"/>
          <w:lang w:val="sq-AL"/>
        </w:rPr>
        <w:t>Në komunën e Drenasit jan</w:t>
      </w:r>
      <w:r w:rsidRPr="00A07A78">
        <w:rPr>
          <w:rFonts w:ascii="Times New Roman" w:hAnsi="Times New Roman" w:cs="Times New Roman"/>
          <w:sz w:val="24"/>
          <w:szCs w:val="24"/>
          <w:lang w:val="sq-AL"/>
        </w:rPr>
        <w:t>ë 42 vendbanime: 36 fshatra, dy qendra urbane, tre l</w:t>
      </w:r>
      <w:r>
        <w:rPr>
          <w:rFonts w:ascii="Times New Roman" w:hAnsi="Times New Roman" w:cs="Times New Roman"/>
          <w:sz w:val="24"/>
          <w:szCs w:val="24"/>
          <w:lang w:val="sq-AL"/>
        </w:rPr>
        <w:t>okalitete dhe qendra e Drenasit</w:t>
      </w:r>
      <w:r w:rsidRPr="00A07A78">
        <w:rPr>
          <w:rFonts w:ascii="Times New Roman" w:hAnsi="Times New Roman" w:cs="Times New Roman"/>
          <w:sz w:val="24"/>
          <w:szCs w:val="24"/>
          <w:lang w:val="sq-AL"/>
        </w:rPr>
        <w:t>. Komuna është e banuar ekskluzivisht nga shqiptarët.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Komuna u themelua para Luftës së Dytë Botërore si një njësi e veçantë sociale, politike dhe administrative. Gjatë tetëdhjetë viteve të fundit, zhvillimi ekonomik ka qenë në nivele shumë të ulëta, për shkak të politikave të mëparshme antipopullore që ndoqën një qasje diskriminuese, veçanërisht në fushën ekonomike. Megjithatë, kjo komunë ka ndërmarrë hapa të rëndësishëm drejt transformimit të ngadaltë por progresiv të strukturave të saj ekonomike, bujqësore, arsimore, shëndetësore dhe industriale. Përmirësimi i strukturës së zhvillimit komunal ka qenë i ndikuar kryesisht nga ndërtimi i rrjetit arsimor-edukativ, zgjerimi i shërbimeve shëndetësore dhe intensifikimi i zhvillimit bujqësor, veçanërisht pas ndërtimit të sistemit të ujitjes "Ibër-Lepenc". Ndërtimi i kompleksit "Feronikelit" ka shënuar një lëvizje pozitive në ekonominë e pazhvilluar të Drenasit.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lastRenderedPageBreak/>
        <w:t>Drenasi është identifikuar gjatë viteve si një qytet me një rini aktive dhe të suksesshme. Prandaj, strategjia për zhvillimin dhe fuqizimin e rinisë në Komunën e Drenasit do të përgatitet me qëllimin e kontributit të vazhdueshëm në këto komponente, duke mbajtur të rinjtë si fokus kryesor.</w:t>
      </w:r>
    </w:p>
    <w:p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Kjo strategji do të përfshijë një sërë veprimesh që synojnë të adresojnë nevojat dhe potencialet e të rinjve në aspekte të ndryshme të jetës së tyre. Ato përfshijnë arsimin, punësimin, pjesëmarrjen në vendimmarrje, shëndetin, kulturën dhe sportin, si dhe përfshirjen e tyre në zhvillimin ekonomik dhe shoqëror të komunës së Drenasit. Strategjia paraqet një dokument planifikimi dhe orientimi që synon të përcaktojë nevojat, sfidat dhe mundësitë me të cilat përballen të rinjtë në Komunën e Drenasit. Ajo ndërmerr një qasje të qartë dhe të koordinuar për të mbështetur zhvillimin e tyre në dimensione të ndryshme të jetës, dhe është thelbësore për të siguruar që të rinjtë, të cilët përbëjnë një segment të rëndësishëm të popullsisë, të jenë të angazhuar, të fuqizuar dhe të kontribuojnë në zhvillimin ekonomik dhe social të komunës sonë.</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Disa nga aspektet kyçe që do të përfshihen në strategji janë:</w:t>
      </w:r>
    </w:p>
    <w:p w:rsidR="000700CC" w:rsidRPr="00A07A78"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Zhvillimi i arsimit jo-formal dhe aftësive,</w:t>
      </w:r>
    </w:p>
    <w:p w:rsidR="000700CC" w:rsidRPr="00A07A78"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Forcimi i komponentës së vullnetarizmit,</w:t>
      </w:r>
    </w:p>
    <w:p w:rsidR="000700CC" w:rsidRPr="00A07A78"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Teknologjia, inovacioni dhe ndërmarrësia rinore,</w:t>
      </w:r>
    </w:p>
    <w:p w:rsidR="000700CC" w:rsidRPr="00A07A78"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Pjesëmarrja e të rinjve në vendimmarrje dhe në politikat lokale,</w:t>
      </w:r>
    </w:p>
    <w:p w:rsidR="000700CC" w:rsidRPr="00A07A78"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Mirëqenia, shëndeti mendor dhe siguria e të rinjve,</w:t>
      </w:r>
    </w:p>
    <w:p w:rsidR="000700CC" w:rsidRPr="00A07A78"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Kultura, arti, sporti dhe aktiviteti fizik,</w:t>
      </w:r>
    </w:p>
    <w:p w:rsidR="000700CC" w:rsidRPr="00A07A78"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Mbrojtja e mjedisit dhe promovimi i ekonomisë së gjelbërt,</w:t>
      </w:r>
    </w:p>
    <w:p w:rsidR="000700CC" w:rsidRPr="00A07A78"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Mbështetja për të rinjtë me aftësi të kufizuara,</w:t>
      </w:r>
    </w:p>
    <w:p w:rsidR="000700CC" w:rsidRDefault="000700CC" w:rsidP="000700CC">
      <w:pPr>
        <w:pStyle w:val="ListParagraph"/>
        <w:numPr>
          <w:ilvl w:val="0"/>
          <w:numId w:val="1"/>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Mbështetja për të rinjtë nga gr</w:t>
      </w:r>
      <w:r>
        <w:rPr>
          <w:rFonts w:ascii="Times New Roman" w:hAnsi="Times New Roman" w:cs="Times New Roman"/>
          <w:sz w:val="24"/>
          <w:szCs w:val="24"/>
          <w:lang w:val="sq-AL"/>
        </w:rPr>
        <w:t>upet e tjera të margjinalizuara</w:t>
      </w:r>
    </w:p>
    <w:p w:rsidR="000700CC" w:rsidRPr="00A07A78" w:rsidRDefault="000700CC" w:rsidP="000700CC">
      <w:pPr>
        <w:pStyle w:val="ListParagraph"/>
        <w:tabs>
          <w:tab w:val="left" w:pos="3706"/>
        </w:tabs>
        <w:spacing w:line="360" w:lineRule="auto"/>
        <w:jc w:val="both"/>
        <w:rPr>
          <w:rFonts w:ascii="Times New Roman" w:hAnsi="Times New Roman" w:cs="Times New Roman"/>
          <w:sz w:val="24"/>
          <w:szCs w:val="24"/>
          <w:lang w:val="sq-AL"/>
        </w:rPr>
      </w:pPr>
    </w:p>
    <w:p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Ky dokument strategjik është në harmoni të plotë me Strategjinë Shtetërore për Rininë 2024-2032. Kjo strategji shtetërore zotohet të ofrojë të rinjve kosovarë një platformë për realizimin e të drejtave dhe potencialeve të tyre, përmes masave politike dhe veprimeve të planifikuara. Strategjia synon të ofrojë mundësi dhe përvoja që mbështesin integrimin e të rinjve në shoqëri dhe fuqizimin e tyre si agjentë të zhvillimit të një shoqërie gjithëpërfshirëse dhe të qëndrueshme. Me termin "të rinj", kjo strategji, sikurse edhe Strategjia Shtetërore për Rininë 2024-2032, nënkupton të gjithë </w:t>
      </w:r>
      <w:r w:rsidRPr="00A07A78">
        <w:rPr>
          <w:rFonts w:ascii="Times New Roman" w:hAnsi="Times New Roman" w:cs="Times New Roman"/>
          <w:sz w:val="24"/>
          <w:szCs w:val="24"/>
          <w:lang w:val="sq-AL"/>
        </w:rPr>
        <w:lastRenderedPageBreak/>
        <w:t>personat nga moshë 15 deri në 29 vjeç, e cila është grupmosha që synohet nga kjo strategji. Ky term është parashikuar edhe në draft-ligjin për Rininë dhe është në përputhje me përkufizimin e të rinjve të përdorur në Strategjinë Evropiane për Rininë 2019-2027</w:t>
      </w:r>
      <w:r>
        <w:rPr>
          <w:rStyle w:val="FootnoteReference"/>
          <w:rFonts w:ascii="Times New Roman" w:hAnsi="Times New Roman" w:cs="Times New Roman"/>
          <w:sz w:val="24"/>
          <w:szCs w:val="24"/>
          <w:lang w:val="sq-AL"/>
        </w:rPr>
        <w:footnoteReference w:id="3"/>
      </w:r>
      <w:r w:rsidRPr="00A07A78">
        <w:rPr>
          <w:rFonts w:ascii="Times New Roman" w:hAnsi="Times New Roman" w:cs="Times New Roman"/>
          <w:sz w:val="24"/>
          <w:szCs w:val="24"/>
          <w:lang w:val="sq-AL"/>
        </w:rPr>
        <w:t>.</w:t>
      </w:r>
    </w:p>
    <w:p w:rsidR="000700CC" w:rsidRPr="00A07A78" w:rsidRDefault="000700CC" w:rsidP="000700CC">
      <w:pPr>
        <w:pStyle w:val="ListParagraph"/>
        <w:numPr>
          <w:ilvl w:val="0"/>
          <w:numId w:val="7"/>
        </w:numPr>
        <w:tabs>
          <w:tab w:val="left" w:pos="3706"/>
        </w:tabs>
        <w:spacing w:after="0"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BAZA LIGJORE</w:t>
      </w:r>
    </w:p>
    <w:p w:rsidR="000700CC" w:rsidRPr="00A07A78" w:rsidRDefault="000700CC" w:rsidP="000700CC">
      <w:p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br/>
      </w:r>
      <w:r w:rsidRPr="00A07A78">
        <w:rPr>
          <w:rFonts w:ascii="Times New Roman" w:hAnsi="Times New Roman" w:cs="Times New Roman"/>
          <w:sz w:val="24"/>
          <w:szCs w:val="24"/>
          <w:lang w:val="sq-AL"/>
        </w:rPr>
        <w:t>Për përgatitjen e strategjisë për fuqizimin dhe zhvillimin e të rinjve të Komunës së Drenasit, ne kemi marrë parasysh dhe konsultuar bazat ligjore specifike të legjislacionit në fuqi të Republikës së Kosovës dhe të Komunës së Drenasit. Informacionet ligjore janë shqyrtuar për të siguruar një mbështetje adekuate në hartimin e një strategjie efektive. Dokumentacioni i marrë si referencë përfshin</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w:t>
      </w:r>
    </w:p>
    <w:p w:rsidR="000700CC" w:rsidRPr="00A07A78" w:rsidRDefault="000700CC" w:rsidP="000700CC">
      <w:pPr>
        <w:pStyle w:val="ListParagraph"/>
        <w:numPr>
          <w:ilvl w:val="0"/>
          <w:numId w:val="2"/>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Ligjin nr. 03/L-040 për Vetëqeverisjen Lokale</w:t>
      </w:r>
      <w:r>
        <w:rPr>
          <w:rStyle w:val="FootnoteReference"/>
          <w:rFonts w:ascii="Times New Roman" w:hAnsi="Times New Roman" w:cs="Times New Roman"/>
          <w:sz w:val="24"/>
          <w:szCs w:val="24"/>
          <w:lang w:val="sq-AL"/>
        </w:rPr>
        <w:footnoteReference w:id="4"/>
      </w:r>
      <w:r w:rsidRPr="00A07A78">
        <w:rPr>
          <w:rFonts w:ascii="Times New Roman" w:hAnsi="Times New Roman" w:cs="Times New Roman"/>
          <w:sz w:val="24"/>
          <w:szCs w:val="24"/>
          <w:lang w:val="sq-AL"/>
        </w:rPr>
        <w:t>;</w:t>
      </w:r>
    </w:p>
    <w:p w:rsidR="000700CC" w:rsidRPr="00A07A78" w:rsidRDefault="000700CC" w:rsidP="000700CC">
      <w:pPr>
        <w:pStyle w:val="ListParagraph"/>
        <w:numPr>
          <w:ilvl w:val="0"/>
          <w:numId w:val="2"/>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Ligjin nr. 05/L-031 për Procedurën e Përgjithshme Administrative</w:t>
      </w:r>
      <w:r>
        <w:rPr>
          <w:rStyle w:val="FootnoteReference"/>
          <w:rFonts w:ascii="Times New Roman" w:hAnsi="Times New Roman" w:cs="Times New Roman"/>
          <w:sz w:val="24"/>
          <w:szCs w:val="24"/>
          <w:lang w:val="sq-AL"/>
        </w:rPr>
        <w:footnoteReference w:id="5"/>
      </w:r>
      <w:r w:rsidRPr="00A07A78">
        <w:rPr>
          <w:rFonts w:ascii="Times New Roman" w:hAnsi="Times New Roman" w:cs="Times New Roman"/>
          <w:sz w:val="24"/>
          <w:szCs w:val="24"/>
          <w:lang w:val="sq-AL"/>
        </w:rPr>
        <w:t>;</w:t>
      </w:r>
    </w:p>
    <w:p w:rsidR="000700CC" w:rsidRPr="00A07A78" w:rsidRDefault="000700CC" w:rsidP="000700CC">
      <w:pPr>
        <w:pStyle w:val="ListParagraph"/>
        <w:numPr>
          <w:ilvl w:val="0"/>
          <w:numId w:val="2"/>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Statutin e Komunës së Drenasit</w:t>
      </w:r>
      <w:r>
        <w:rPr>
          <w:rStyle w:val="FootnoteReference"/>
          <w:rFonts w:ascii="Times New Roman" w:hAnsi="Times New Roman" w:cs="Times New Roman"/>
          <w:sz w:val="24"/>
          <w:szCs w:val="24"/>
          <w:lang w:val="sq-AL"/>
        </w:rPr>
        <w:footnoteReference w:id="6"/>
      </w:r>
      <w:r w:rsidRPr="00A07A78">
        <w:rPr>
          <w:rFonts w:ascii="Times New Roman" w:hAnsi="Times New Roman" w:cs="Times New Roman"/>
          <w:sz w:val="24"/>
          <w:szCs w:val="24"/>
          <w:lang w:val="sq-AL"/>
        </w:rPr>
        <w:t>;</w:t>
      </w:r>
    </w:p>
    <w:p w:rsidR="000700CC" w:rsidRPr="00A07A78" w:rsidRDefault="000700CC" w:rsidP="000700CC">
      <w:pPr>
        <w:pStyle w:val="ListParagraph"/>
        <w:numPr>
          <w:ilvl w:val="0"/>
          <w:numId w:val="2"/>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Ud</w:t>
      </w:r>
      <w:r>
        <w:rPr>
          <w:rFonts w:ascii="Times New Roman" w:hAnsi="Times New Roman" w:cs="Times New Roman"/>
          <w:sz w:val="24"/>
          <w:szCs w:val="24"/>
          <w:lang w:val="sq-AL"/>
        </w:rPr>
        <w:t xml:space="preserve">hëzimin Administrativ (QRK) nr. </w:t>
      </w:r>
      <w:r w:rsidRPr="00A07A78">
        <w:rPr>
          <w:rFonts w:ascii="Times New Roman" w:hAnsi="Times New Roman" w:cs="Times New Roman"/>
          <w:sz w:val="24"/>
          <w:szCs w:val="24"/>
          <w:lang w:val="sq-AL"/>
        </w:rPr>
        <w:t>07/2018 për Planifikimin dhe Hartimin e Dokumenteve Strategjike dhe Planeve të Veprimit</w:t>
      </w:r>
      <w:r>
        <w:rPr>
          <w:rStyle w:val="FootnoteReference"/>
          <w:rFonts w:ascii="Times New Roman" w:hAnsi="Times New Roman" w:cs="Times New Roman"/>
          <w:sz w:val="24"/>
          <w:szCs w:val="24"/>
          <w:lang w:val="sq-AL"/>
        </w:rPr>
        <w:footnoteReference w:id="7"/>
      </w:r>
      <w:r w:rsidRPr="00A07A78">
        <w:rPr>
          <w:rFonts w:ascii="Times New Roman" w:hAnsi="Times New Roman" w:cs="Times New Roman"/>
          <w:sz w:val="24"/>
          <w:szCs w:val="24"/>
          <w:lang w:val="sq-AL"/>
        </w:rPr>
        <w:t>;</w:t>
      </w:r>
    </w:p>
    <w:p w:rsidR="000700CC" w:rsidRPr="00A07A78" w:rsidRDefault="000700CC" w:rsidP="000700CC">
      <w:pPr>
        <w:pStyle w:val="ListParagraph"/>
        <w:numPr>
          <w:ilvl w:val="0"/>
          <w:numId w:val="2"/>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Manualin për Planifikimin, Hartimin dhe Monitorimin e Dokumenteve Strategjike dhe Planeve të Tyre të Veprimit</w:t>
      </w:r>
      <w:r>
        <w:rPr>
          <w:rStyle w:val="FootnoteReference"/>
          <w:rFonts w:ascii="Times New Roman" w:hAnsi="Times New Roman" w:cs="Times New Roman"/>
          <w:sz w:val="24"/>
          <w:szCs w:val="24"/>
          <w:lang w:val="sq-AL"/>
        </w:rPr>
        <w:footnoteReference w:id="8"/>
      </w:r>
      <w:r w:rsidRPr="00A07A78">
        <w:rPr>
          <w:rFonts w:ascii="Times New Roman" w:hAnsi="Times New Roman" w:cs="Times New Roman"/>
          <w:sz w:val="24"/>
          <w:szCs w:val="24"/>
          <w:lang w:val="sq-AL"/>
        </w:rPr>
        <w:t>;</w:t>
      </w:r>
    </w:p>
    <w:p w:rsidR="000700CC" w:rsidRPr="00A07A78" w:rsidRDefault="000700CC" w:rsidP="000700CC">
      <w:pPr>
        <w:pStyle w:val="ListParagraph"/>
        <w:numPr>
          <w:ilvl w:val="0"/>
          <w:numId w:val="2"/>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Strategjia Shtetërore për Rininë 2024-2032</w:t>
      </w:r>
      <w:r>
        <w:rPr>
          <w:rStyle w:val="FootnoteReference"/>
          <w:rFonts w:ascii="Times New Roman" w:hAnsi="Times New Roman" w:cs="Times New Roman"/>
          <w:sz w:val="24"/>
          <w:szCs w:val="24"/>
          <w:lang w:val="sq-AL"/>
        </w:rPr>
        <w:footnoteReference w:id="9"/>
      </w:r>
      <w:r w:rsidRPr="00A07A78">
        <w:rPr>
          <w:rFonts w:ascii="Times New Roman" w:hAnsi="Times New Roman" w:cs="Times New Roman"/>
          <w:sz w:val="24"/>
          <w:szCs w:val="24"/>
          <w:lang w:val="sq-AL"/>
        </w:rPr>
        <w: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Si grup punues, kemi theksuar rëndësinë e një baze ligjore të qartë dhe të plotë, e cila do të shërbejë si udhërrëfyes gjatë gjithë procesit të hartimit të strategjisë dhe deri në miratimin e saj. Për këtë qëllim, kemi konsultuar edhe Zyrtarët Ligjor të Komunës së Drenasit për të vlerësuar nëse dokumentacioni i përzgjedhur është i përshtatshëm dhe relevant për nevojat e grupit punues dhe të procesit në tërësi.</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lastRenderedPageBreak/>
        <w:t>Është thelbësore që gjatë hartimit të strategjisë për fuqizimin dhe zhvillimin e të rinjve të Drenasit të konsultohemi ngushtë me legjislacionin ekzistues që adreson fushën e rinisë dhe çështjet administrative që lidhen me zbatimin e kësaj strategjie. Kjo përfshirje e gjithanshme dhe e menduar mirë e legjislacionit garanton që strategjia të jetë jo vetëm e zbatueshme, por edhe e qëndrueshme në kohë.</w:t>
      </w:r>
    </w:p>
    <w:p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METODOLOGJIA</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Procesi i hartimit të Strategjisë për fuqizimin dhe zhvillimin e të rinjve në Komunën e Drenasit ka përfshirë një varg fazash të rëndësishme dhe të ndërthurura, duke filluar që nga formimi i ekipit drejtues deri te monitorimi dhe vlerësimi i implementimit të strategjisë.</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Faza e parë, formimi i ekipit drejtues, u bazua në vendimin Nr.01-030/01-15523 të datës 28.03.2024 të Kryetarit të Komunës së Drenasit, z. Ramiz Lladrovci. Grupi punues përfshin përfaqësues nga institucionet lokale, organizatat joqeveritare lokale, këshilli i nxënësve dhe ekspertë të fushave përkatëse për të drejtuar dhe koordinuar procesin në një mënyrë inkluzive.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Analiza e situatës aktuale dhe identifikimi i nevojave u realizuan nëpërmjet takimeve me grupe të ndryshme të interesit, ku u diskutuan sfidat dhe nevojat aktuale të rinisë në Drenas, duke siguruar një bazë të qartë të të dhënave për planifikimin e mëtejshëm.</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Përfshirja dhe konsultimi me palët e interesit u trajtuan duke identifikuar dhe përfshirë organizata joqeveritare, komunitetet lokale dhe grupet e interesit, me qëllim që të gjitha perspektivat dhe nevojat të përfaqësohen efektivisht në strategji.</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Përcaktimi i qëllimeve dh</w:t>
      </w:r>
      <w:r>
        <w:rPr>
          <w:rFonts w:ascii="Times New Roman" w:hAnsi="Times New Roman" w:cs="Times New Roman"/>
          <w:sz w:val="24"/>
          <w:szCs w:val="24"/>
          <w:lang w:val="sq-AL"/>
        </w:rPr>
        <w:t>e prioriteteve strategjike është bërë</w:t>
      </w:r>
      <w:r w:rsidRPr="00A07A78">
        <w:rPr>
          <w:rFonts w:ascii="Times New Roman" w:hAnsi="Times New Roman" w:cs="Times New Roman"/>
          <w:sz w:val="24"/>
          <w:szCs w:val="24"/>
          <w:lang w:val="sq-AL"/>
        </w:rPr>
        <w:t xml:space="preserve"> mbi bazën e analizës së nevojave të të rinjve, duke u përqendruar në ofrimin e zgjidhjeve të qëndrueshme dhe efektive që adresojnë këto nevoja dhe aspirata.</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Zhvillimi i planit të hartimit të strategjisë përfshiu përcaktimin e objektivave specifikë, masave të detajuara dhe përcaktimin e përgjegjësive dhe afateve kohore, duke u siguruar që strategjia të jetë e zbatueshme dhe efektive.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Mekanizmat e zbatimit dhe koordinimit janë projektuar për të garantuar që të gjitha institucionet dhe partnerët e përfshirë të jenë përgjegjës për realizimin e strategjisë dhe që burimet financiare të menaxhohen me transparencë dhe efikasitet.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lastRenderedPageBreak/>
        <w:t>Monitorimi dhe vlerësimi janë parashikuar të bëhen në mënyrë të rregullt dhe objektive, me qëllim që të monitorohet progresi dhe të identifikohen sfidat që kërkojnë përmirësim në strategjinë për rininë e Drenasit.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Miratimi dhe zbatimi i strategjisë do të bëhet në bazë të dokumentit përfundimtar të hartuar, duke përfshirë gjithashtu një pjesëmarrje të gjerë nga palët e interesit për të garantuar realizimin e qëllimeve strategjike.</w:t>
      </w:r>
    </w:p>
    <w:p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Në fund, komunikimi dhe angazhimi i vazhdueshëm janë thelbësorë për të mbajtur të informuar dhe të angazhuar të rinjtë dhe të gjitha palët e interesit gjatë gjithë procesit të zbatimit të strategjisë, duke siguruar një përfshirje aktive dhe të vazhdueshme në zhvillimet e ardhshme në komunën e Drenasit.</w:t>
      </w:r>
    </w:p>
    <w:p w:rsidR="000700CC" w:rsidRPr="00F555F2" w:rsidRDefault="000700CC" w:rsidP="000700CC">
      <w:pPr>
        <w:tabs>
          <w:tab w:val="left" w:pos="3706"/>
        </w:tabs>
        <w:spacing w:line="360" w:lineRule="auto"/>
        <w:jc w:val="both"/>
        <w:rPr>
          <w:rFonts w:ascii="Times New Roman" w:hAnsi="Times New Roman" w:cs="Times New Roman"/>
          <w:sz w:val="24"/>
          <w:szCs w:val="24"/>
          <w:lang w:val="sq-AL"/>
        </w:rPr>
      </w:pPr>
    </w:p>
    <w:p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QËLLIMI I STRATEGJISË</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Qëllimi i përgjithshëm i strategjisë është të kontribuojë në fuqizimin dhe zhvillimin e të rinjve në Komunën e Drenasit. Dokumenti ka për qëllim të ofrojë mundësi trajnimi dhe zhvillimi personal për të rinjtë, duke i përgatitur ata të bëhen qytetarë aktiv dhe produktiv në shoqëri.</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Në këtë kontekst, strategjia përcakton disa qëllime specifike:</w:t>
      </w:r>
    </w:p>
    <w:p w:rsidR="000700CC" w:rsidRPr="00A07A78" w:rsidRDefault="000700CC" w:rsidP="000700CC">
      <w:pPr>
        <w:pStyle w:val="ListParagraph"/>
        <w:numPr>
          <w:ilvl w:val="0"/>
          <w:numId w:val="3"/>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Teknologjia, Inovacioni dhe Ndërmarrësia Rinore</w:t>
      </w:r>
      <w:r w:rsidRPr="00A07A78">
        <w:rPr>
          <w:rFonts w:ascii="Times New Roman" w:hAnsi="Times New Roman" w:cs="Times New Roman"/>
          <w:sz w:val="24"/>
          <w:szCs w:val="24"/>
          <w:lang w:val="sq-AL"/>
        </w:rPr>
        <w:t>: Zhvillimi i aftësive të të rinjve për t'i përgatitur ata për tregun e punës, duke ndihmuar në avancimin e tyre profesional në fusha të ndryshme.</w:t>
      </w:r>
    </w:p>
    <w:p w:rsidR="000700CC" w:rsidRPr="00A07A78" w:rsidRDefault="000700CC" w:rsidP="000700CC">
      <w:pPr>
        <w:pStyle w:val="ListParagraph"/>
        <w:numPr>
          <w:ilvl w:val="0"/>
          <w:numId w:val="3"/>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Pjesëmarrja e të Rinjve në Vendimmarrje dhe Politikat Lokale</w:t>
      </w:r>
      <w:r w:rsidRPr="00A07A78">
        <w:rPr>
          <w:rFonts w:ascii="Times New Roman" w:hAnsi="Times New Roman" w:cs="Times New Roman"/>
          <w:sz w:val="24"/>
          <w:szCs w:val="24"/>
          <w:lang w:val="sq-AL"/>
        </w:rPr>
        <w:t>: Forcimi i pjesëmarrjes aktive të të rinjve në proceset vendimmarrëse dhe lokale për të rritur ndikimin dhe praninë e tyre në zhvillimin komunitar.</w:t>
      </w:r>
    </w:p>
    <w:p w:rsidR="000700CC" w:rsidRPr="00A07A78" w:rsidRDefault="000700CC" w:rsidP="000700CC">
      <w:pPr>
        <w:pStyle w:val="ListParagraph"/>
        <w:numPr>
          <w:ilvl w:val="0"/>
          <w:numId w:val="3"/>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Mirëqenia, Shëndeti Mendor dhe Siguria e të Rinjve</w:t>
      </w:r>
      <w:r w:rsidRPr="00A07A78">
        <w:rPr>
          <w:rFonts w:ascii="Times New Roman" w:hAnsi="Times New Roman" w:cs="Times New Roman"/>
          <w:sz w:val="24"/>
          <w:szCs w:val="24"/>
          <w:lang w:val="sq-AL"/>
        </w:rPr>
        <w:t>: Promovimi i një jete të shëndetshme dhe sigurimi i a në shërbime të mirëqenies për të rinjtë, duke përfshirë mbështetjen për shëndetin mendor dhe fizik.</w:t>
      </w:r>
    </w:p>
    <w:p w:rsidR="000700CC" w:rsidRPr="00A07A78" w:rsidRDefault="000700CC" w:rsidP="000700CC">
      <w:pPr>
        <w:pStyle w:val="ListParagraph"/>
        <w:numPr>
          <w:ilvl w:val="0"/>
          <w:numId w:val="3"/>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Barazia dhe Gjithëpërfshirja</w:t>
      </w:r>
      <w:r w:rsidRPr="00A07A78">
        <w:rPr>
          <w:rFonts w:ascii="Times New Roman" w:hAnsi="Times New Roman" w:cs="Times New Roman"/>
          <w:sz w:val="24"/>
          <w:szCs w:val="24"/>
          <w:lang w:val="sq-AL"/>
        </w:rPr>
        <w:t xml:space="preserve">: Garantimi që të gjithë të rinjtë, pavarësisht nga sfondi ose aftësia, janë të përfshirë në mënyrë të barabartë në jetën sociale dhe politike të komunitetit. </w:t>
      </w:r>
      <w:r w:rsidRPr="00A07A78">
        <w:rPr>
          <w:rFonts w:ascii="Times New Roman" w:hAnsi="Times New Roman" w:cs="Times New Roman"/>
          <w:sz w:val="24"/>
          <w:szCs w:val="24"/>
          <w:lang w:val="sq-AL"/>
        </w:rPr>
        <w:lastRenderedPageBreak/>
        <w:t>Kjo përfshin mbështetje të veçantë për të rinjtë me aftësi të kufizuara dhe grupe të tjera të margjinalizuara.</w:t>
      </w:r>
    </w:p>
    <w:p w:rsidR="000700CC" w:rsidRPr="00A07A78" w:rsidRDefault="000700CC" w:rsidP="000700CC">
      <w:pPr>
        <w:pStyle w:val="ListParagraph"/>
        <w:numPr>
          <w:ilvl w:val="0"/>
          <w:numId w:val="3"/>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Zhvillimi i Komponentës së Vullnetarizmit</w:t>
      </w:r>
      <w:r w:rsidRPr="00A07A78">
        <w:rPr>
          <w:rFonts w:ascii="Times New Roman" w:hAnsi="Times New Roman" w:cs="Times New Roman"/>
          <w:sz w:val="24"/>
          <w:szCs w:val="24"/>
          <w:lang w:val="sq-AL"/>
        </w:rPr>
        <w:t>: Inkurajimi i të rinjve për të marrë pjesë në aktivitete vullnetare, duke kontribuar në mirëqenien dhe përmirësimin e komunitetit.</w:t>
      </w:r>
    </w:p>
    <w:p w:rsidR="000700CC" w:rsidRPr="00A07A78" w:rsidRDefault="000700CC" w:rsidP="000700CC">
      <w:pPr>
        <w:pStyle w:val="ListParagraph"/>
        <w:numPr>
          <w:ilvl w:val="0"/>
          <w:numId w:val="3"/>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Kultura, Arti, Sporti dhe Aktiviteti Fizik</w:t>
      </w:r>
      <w:r w:rsidRPr="00A07A78">
        <w:rPr>
          <w:rFonts w:ascii="Times New Roman" w:hAnsi="Times New Roman" w:cs="Times New Roman"/>
          <w:sz w:val="24"/>
          <w:szCs w:val="24"/>
          <w:lang w:val="sq-AL"/>
        </w:rPr>
        <w:t>: Stimulimi i pjesëmarrjes së të rinjve në sporte, aktivitete fizike, dhe fushat e artit dhe kulturës, duke përfshirë edhe ruajtjen e trashëgimisë kulturore.</w:t>
      </w:r>
    </w:p>
    <w:p w:rsidR="000700CC" w:rsidRPr="00A07A78" w:rsidRDefault="000700CC" w:rsidP="000700CC">
      <w:pPr>
        <w:pStyle w:val="ListParagraph"/>
        <w:numPr>
          <w:ilvl w:val="0"/>
          <w:numId w:val="3"/>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Mbrojtja e Mjedisit dhe Promovimi i Ekonomisë së Gjelbërt</w:t>
      </w:r>
      <w:r w:rsidRPr="00A07A78">
        <w:rPr>
          <w:rFonts w:ascii="Times New Roman" w:hAnsi="Times New Roman" w:cs="Times New Roman"/>
          <w:sz w:val="24"/>
          <w:szCs w:val="24"/>
          <w:lang w:val="sq-AL"/>
        </w:rPr>
        <w:t>: Mbështetja e iniciativave që nxisin ekonominë e gjelbërt dhe mbrojtjen e mjedisit, duke promovuar praktika të qëndrueshme dhe mjedise të pastërta.</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Nëpërmjet këtyre qëllimeve, strategjia synon të angazhojë të rinjtë si </w:t>
      </w:r>
      <w:r w:rsidRPr="00A07A78">
        <w:rPr>
          <w:rFonts w:ascii="Times New Roman" w:hAnsi="Times New Roman" w:cs="Times New Roman"/>
          <w:b/>
          <w:sz w:val="24"/>
          <w:szCs w:val="24"/>
          <w:lang w:val="sq-AL"/>
        </w:rPr>
        <w:t>avokat/aktor</w:t>
      </w:r>
      <w:r w:rsidRPr="00A07A78">
        <w:rPr>
          <w:rFonts w:ascii="Times New Roman" w:hAnsi="Times New Roman" w:cs="Times New Roman"/>
          <w:sz w:val="24"/>
          <w:szCs w:val="24"/>
          <w:lang w:val="sq-AL"/>
        </w:rPr>
        <w:t xml:space="preserve"> aktiv në zhvillimin dhe përmirësimin e komunitetit të tyre. Angazhimi dhe pjesëmarrja e të rinjve në vendimmarrje, si dhe ofrimi i mundësive për zhvillimin e tyre personal dhe profesional, janë jetike për realizimin e qëllimeve të strategjisë. Fokusimi në përfshirjen e të rinjve me aftësi të kufizuara është veçanërisht i rëndësishëm për të garantuar një shoqëri më gjithëpërfshirëse.</w:t>
      </w:r>
    </w:p>
    <w:p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SFIDAT AKTUALE TË TË RINJVE TË DRENASIT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Të rinjtë e Drenasit, si në shumë komuna të tjera në Kosovë, përballen me një gamë të sfidave t</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 xml:space="preserve"> ndryshme që ndikojnë në zhvillimin e tyre personal, profesional dhe social. Këto sfida, ndonëse të ndryshme në natyrë, shpesh kanë rrënjë të përbashkëta me ato të hasura në shumë vende të tjera, duke përfshirë mungesën e mundësive për punësim në profesione sipas përgatitjes profesionale, çështjet e shëndetit mendor, mungesa e gjithpërfshirjes, mungesa e aktivitetit rekreativ-sportiv, sfidat e integrimit social dhe politik dhe ndikimin e përdorimit të tepërt të teknologjisë.</w:t>
      </w:r>
    </w:p>
    <w:p w:rsidR="000700CC" w:rsidRPr="00A07A78" w:rsidRDefault="000700CC" w:rsidP="000700CC">
      <w:pPr>
        <w:pStyle w:val="ListParagraph"/>
        <w:numPr>
          <w:ilvl w:val="1"/>
          <w:numId w:val="7"/>
        </w:numPr>
        <w:tabs>
          <w:tab w:val="left" w:pos="3706"/>
        </w:tabs>
        <w:spacing w:line="360" w:lineRule="auto"/>
        <w:ind w:left="810" w:hanging="450"/>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Mungesa e mundësive për punësim sipas përgatitjes profesionale</w:t>
      </w:r>
    </w:p>
    <w:p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Mund</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sia e pun</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simit sipas profileve apo përgatitjes profesionale  mbetet një sfidë kryesore për të rinjtë në Drenas. Tregu i punës është i ngushtë, me mundësi të kufizuara dhe konkurrencë të lartë, duke i shtyrë të rinjtë të angazhohen në punë jo relevante me përgatitjen e tyre apo të kërkojnë mundësi jashtë vendit.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p>
    <w:p w:rsidR="000700CC" w:rsidRPr="00A07A78" w:rsidRDefault="000700CC" w:rsidP="000700CC">
      <w:pPr>
        <w:pStyle w:val="ListParagraph"/>
        <w:numPr>
          <w:ilvl w:val="1"/>
          <w:numId w:val="7"/>
        </w:numPr>
        <w:tabs>
          <w:tab w:val="left" w:pos="3706"/>
        </w:tabs>
        <w:spacing w:line="360" w:lineRule="auto"/>
        <w:ind w:left="810" w:hanging="450"/>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lastRenderedPageBreak/>
        <w:t>Çështjet e shëndetit mendor dhe mirëqenies</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Shëndeti mendor i të rinjve përballet me sfida të shumta, duke përfshirë stresin nga shkolla dhe presionet sociale, ndikimin e medias sociale, probleme familjare si konfliktet ose ndarjet, dhe çështje si depresioni dhe ankthi. Këto çështje janë të ndërlikuara dhe kërkojnë një mbështetje të qëndrueshme dhe të përshtatshme.</w:t>
      </w:r>
    </w:p>
    <w:p w:rsidR="000700CC" w:rsidRPr="00A07A78" w:rsidRDefault="000700CC" w:rsidP="000700CC">
      <w:pPr>
        <w:pStyle w:val="ListParagraph"/>
        <w:numPr>
          <w:ilvl w:val="1"/>
          <w:numId w:val="7"/>
        </w:numPr>
        <w:tabs>
          <w:tab w:val="left" w:pos="3706"/>
        </w:tabs>
        <w:spacing w:line="360" w:lineRule="auto"/>
        <w:ind w:left="810" w:hanging="450"/>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Mungesa e gjithpërfshirjes tek të rinjtë</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Të rinjtë përjetojnë ndjenja të izolimit dhe përjashtimit për shkak të bullizmit, ndjenjave të pakënaqësisë me veten, dhe standardeve të paimagjinueshme të imazhit në media sociale. Krijimi i një ambienti të përkrahës dhe të pranueshëm është thelbësor për të adresuar këto probleme.</w:t>
      </w:r>
    </w:p>
    <w:p w:rsidR="000700CC" w:rsidRPr="00A07A78" w:rsidRDefault="000700CC" w:rsidP="000700CC">
      <w:pPr>
        <w:pStyle w:val="ListParagraph"/>
        <w:numPr>
          <w:ilvl w:val="1"/>
          <w:numId w:val="7"/>
        </w:numPr>
        <w:tabs>
          <w:tab w:val="left" w:pos="810"/>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Mungesa e aktiviteteve rekreative dhe sportive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Teknologjia dhe video-lojërat zëvendësojnë kohën që do të ishte shpenzuar në aktivitete fizike. Mungesa e motivimit, kohës së lirë, dhe burimeve financiare e bëjnë më të vështirë për të rinjtë të angazhohen në sport dhe aktivitete rekreative.</w:t>
      </w:r>
    </w:p>
    <w:p w:rsidR="000700CC" w:rsidRPr="00A07A78" w:rsidRDefault="000700CC" w:rsidP="000700CC">
      <w:pPr>
        <w:pStyle w:val="ListParagraph"/>
        <w:numPr>
          <w:ilvl w:val="1"/>
          <w:numId w:val="7"/>
        </w:numPr>
        <w:tabs>
          <w:tab w:val="left" w:pos="3706"/>
        </w:tabs>
        <w:spacing w:line="360" w:lineRule="auto"/>
        <w:ind w:left="810" w:hanging="450"/>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Sfidat e integrimit social dhe politik</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Përfshirja e të rinjve në proceset vendimmarrëse mbetet një sfidë, edhe pse ka përmirësime. Mungesa e platformave dhe mundësive për përfshirje aktive shpesh i lë të rinjtë jashtë diskutimeve dhe vendimeve që i prekin ata direkt.</w:t>
      </w:r>
    </w:p>
    <w:p w:rsidR="000700CC" w:rsidRPr="00A07A78" w:rsidRDefault="000700CC" w:rsidP="000700CC">
      <w:pPr>
        <w:pStyle w:val="ListParagraph"/>
        <w:numPr>
          <w:ilvl w:val="1"/>
          <w:numId w:val="7"/>
        </w:numPr>
        <w:tabs>
          <w:tab w:val="left" w:pos="3706"/>
        </w:tabs>
        <w:spacing w:line="360" w:lineRule="auto"/>
        <w:ind w:left="810" w:hanging="450"/>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Ndikimi i përdorimit të tepërt të teknologjisë</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Përdorimi i tepruar i teknologjisë dhe rrjeteve sociale mund të çojë në izolim social, varësi dhe ndikime negative në shëndetin mendor, kështu duke kërkuar një balancim të kujdesshëm të ndikimeve pozitive dhe negative të teknologjisë.</w:t>
      </w:r>
    </w:p>
    <w:p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Përballja me këto sfida kërkon angazhim të përbashkët nga qeveria, sektori privat, organizatat joqeveritare dhe komuniteti në përgjithësi. Është jetike që të adresohen këto sfida për të ndihmuar të rinjtë të zhvillohen në të gjitha aspektet e jetës së tyre. Kjo përfshirje do të ndërtojë një mjedis më të mirë për të ardhmen e tyre dhe do të sigurojë një shoqëri më gjithëpërfshirëse dhe demokratike.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p>
    <w:p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lastRenderedPageBreak/>
        <w:t>VLERËSIMI I NEVOJAVE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Vlerësimi i nevojave në kuadër të strategjisë për të rinjtë ka për qëllim të identifikojë dhe përshkruajë në mënyrë të plotë dhe të qartë nevojat e të rinjve, duke përfshirë sfidat, mundësitë dhe prioritete të tyre. Ky proces është jetik për zhvillimin e një strategjie efektive që synon të përmirësojë jetën e të rinjve në Drenas.</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Nevojat kryesore që janë identifikuar nga të rinjtë e Drenasit përfshijnë:</w:t>
      </w:r>
    </w:p>
    <w:p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Mbështetje për punësim në profesione sipas përgatitjes profesionale për të rinjtë, duke përmirësuar shanset e tyre në tregun e punës.</w:t>
      </w:r>
    </w:p>
    <w:p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Promovimi i shëndetit mendor përmes edukimit shëndetësor dhe programeve mbështetëse.</w:t>
      </w:r>
    </w:p>
    <w:p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Promovimi i barazisë dhe gjithpërfshirjes si vlera thelbësore shoqërore.</w:t>
      </w:r>
    </w:p>
    <w:p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Inkurajimi i sportit dhe aktivitetit fizik si një stil i shëndetshëm jetese.</w:t>
      </w:r>
    </w:p>
    <w:p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Mbështetje për integrimin social dhe politik të të rinjve në proceset vendimmarrëse.</w:t>
      </w:r>
    </w:p>
    <w:p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Sensibilizimi i të rinjve për përdorimin e duhur të teknologjisë për të minimizuar ndikimet negative.</w:t>
      </w:r>
    </w:p>
    <w:p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Organizimi i kampanjave vetëdijësuese kundër sjelljeve të rrezikshme si dhuna, droga, duhani, alkooli, etj., dhe promovimi i një stili jetese të shëndetshëm.</w:t>
      </w:r>
    </w:p>
    <w:p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Edukimi për shëndetin seksual dhe riprodhues, duke ofruar informacion të saktë dhe të qartë.</w:t>
      </w:r>
    </w:p>
    <w:p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Krijimi i mundësive për punë praktike dhe vullnetare në institucione komunale, organizata dhe kompani private.</w:t>
      </w:r>
    </w:p>
    <w:p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Fuqizimi i të rinjve nga zonat rurale dhe grupet e margjinalizuara për të përmirësuar përfshirjen e tyre shoqërore.</w:t>
      </w:r>
    </w:p>
    <w:p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Zgjerimi i mundësive për edukim jo-formal, duke u ofruar të rinjve më shumë opsione për mësim dhe zhvillim.</w:t>
      </w:r>
    </w:p>
    <w:p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Sigurimi i hapësirave dhe objekteve rinore të përshtatshme që mund të përdoren pa pagesë nga të rinjtë.</w:t>
      </w:r>
    </w:p>
    <w:p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Përmirësimi i qasjes në infrastrukturën sportive dhe kulturore të komunës, duke e bërë atë më të lehtë dhe pa pagesë për të rinjtë.</w:t>
      </w:r>
    </w:p>
    <w:p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Qasja në dokumentet publike dhe zyrtare dhe ngritja e llogaridhënies së institucioneve lokale për të rritur transparencën.</w:t>
      </w:r>
    </w:p>
    <w:p w:rsidR="000700CC" w:rsidRPr="00A07A78" w:rsidRDefault="000700CC" w:rsidP="000700CC">
      <w:pPr>
        <w:pStyle w:val="ListParagraph"/>
        <w:numPr>
          <w:ilvl w:val="0"/>
          <w:numId w:val="4"/>
        </w:numPr>
        <w:tabs>
          <w:tab w:val="left" w:pos="3706"/>
        </w:tabs>
        <w:spacing w:line="360" w:lineRule="auto"/>
        <w:ind w:left="360"/>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lastRenderedPageBreak/>
        <w:t>Mundësi më të mëdha për të rinjtë për të marrë pjesë në programe rinore të shkëmbimeve të përvojave, edukimit dhe praktikave të mira në nivel nacional, regjional dhe ndërkombëtar.</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Ky vlerësim i nevojave shërben si bazë për zhvillimin e strategjive dhe politikave që adresojnë çështjet specifike dhe urgjente të cilat i prekin të rinjtë në Drenas, duke synuar krijimin e një mjedisi më mbështetës dhe të përfshirë për të gjithë.</w:t>
      </w:r>
    </w:p>
    <w:p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VIZIONI</w:t>
      </w:r>
      <w:r>
        <w:rPr>
          <w:rFonts w:ascii="Times New Roman" w:hAnsi="Times New Roman" w:cs="Times New Roman"/>
          <w:b/>
          <w:bCs/>
          <w:sz w:val="24"/>
          <w:szCs w:val="24"/>
          <w:lang w:val="sq-AL"/>
        </w:rPr>
        <w:t xml:space="preserve"> DHE POLITIKAT E DKRS-SË PËR RININË</w:t>
      </w:r>
    </w:p>
    <w:p w:rsidR="000700CC" w:rsidRPr="0005161F" w:rsidRDefault="000700CC" w:rsidP="000700CC">
      <w:pPr>
        <w:spacing w:after="0" w:line="360" w:lineRule="auto"/>
        <w:jc w:val="both"/>
        <w:rPr>
          <w:rFonts w:ascii="Times New Roman" w:hAnsi="Times New Roman" w:cs="Times New Roman"/>
          <w:b/>
          <w:color w:val="000000" w:themeColor="text1"/>
          <w:sz w:val="24"/>
          <w:lang w:val="sq-AL"/>
        </w:rPr>
      </w:pPr>
      <w:r w:rsidRPr="0005161F">
        <w:rPr>
          <w:rFonts w:ascii="Times New Roman" w:hAnsi="Times New Roman" w:cs="Times New Roman"/>
          <w:sz w:val="24"/>
          <w:szCs w:val="24"/>
          <w:lang w:val="sq-AL"/>
        </w:rPr>
        <w:t xml:space="preserve">Komuna e Drenasit ndjek një vizion të qartë për të krijuar një mjedis ku të rinjtë mund të shpalosin plotësisht potencialin e tyre dhe të kontribuojnë në zhvillimin e komunitetit. Vizioni përfshin ndërtimin e një kulture të gjithëpërfshirjes, ku të rinjtë janë të angazhuar aktivisht në proceset zhvillimore dhe vendimmarrëse. Qëllimi është që të rinjtë të kenë mundësi të sjellin inovacione dhe të ndikojnë me ide të reja në përparimin jo vetëm komunës si institucion, por edhe shoqërinë në përgjithësi. Kjo përfshirje e thellë synon të krijojë një komunitet më të fortë, më të barabartë dhe më prosperues për të gjithë anëtarët e tij. </w:t>
      </w:r>
      <w:r w:rsidRPr="00287545">
        <w:rPr>
          <w:rFonts w:ascii="Times New Roman" w:hAnsi="Times New Roman" w:cs="Times New Roman"/>
          <w:sz w:val="24"/>
          <w:szCs w:val="24"/>
          <w:lang w:val="sq-AL"/>
        </w:rPr>
        <w:t>Politikat për rini veçanërisht të Sektorit të Rinisë në Komunën e Drenasit, janë si vijon:</w:t>
      </w:r>
    </w:p>
    <w:p w:rsidR="000700CC" w:rsidRPr="0005161F" w:rsidRDefault="000700CC" w:rsidP="000700CC">
      <w:pPr>
        <w:pStyle w:val="ListParagraph"/>
        <w:numPr>
          <w:ilvl w:val="0"/>
          <w:numId w:val="11"/>
        </w:numPr>
        <w:spacing w:after="0" w:line="360" w:lineRule="auto"/>
        <w:jc w:val="both"/>
        <w:rPr>
          <w:rFonts w:ascii="Times New Roman" w:hAnsi="Times New Roman" w:cs="Times New Roman"/>
          <w:i/>
          <w:sz w:val="24"/>
          <w:szCs w:val="24"/>
          <w:lang w:val="sq-AL"/>
        </w:rPr>
      </w:pPr>
      <w:r w:rsidRPr="0005161F">
        <w:rPr>
          <w:rFonts w:ascii="Times New Roman" w:hAnsi="Times New Roman" w:cs="Times New Roman"/>
          <w:i/>
          <w:sz w:val="24"/>
          <w:szCs w:val="24"/>
          <w:lang w:val="sq-AL"/>
        </w:rPr>
        <w:t xml:space="preserve">Promovimi i Vullnetarizmit: </w:t>
      </w:r>
    </w:p>
    <w:p w:rsidR="000700CC" w:rsidRPr="00287545" w:rsidRDefault="000700CC" w:rsidP="000700CC">
      <w:pPr>
        <w:spacing w:after="0" w:line="360" w:lineRule="auto"/>
        <w:jc w:val="both"/>
        <w:rPr>
          <w:rFonts w:ascii="Times New Roman" w:hAnsi="Times New Roman" w:cs="Times New Roman"/>
          <w:sz w:val="24"/>
          <w:szCs w:val="24"/>
          <w:lang w:val="sq-AL"/>
        </w:rPr>
      </w:pPr>
      <w:r w:rsidRPr="00287545">
        <w:rPr>
          <w:rFonts w:ascii="Times New Roman" w:hAnsi="Times New Roman" w:cs="Times New Roman"/>
          <w:sz w:val="24"/>
          <w:szCs w:val="24"/>
          <w:lang w:val="sq-AL"/>
        </w:rPr>
        <w:t>Sektori i Rinisë promovon dhe inkurajon angazhimin vullnetar të të rinjve në aktivitete dhe projekte të ndryshme që kontribuojnë në zhvillimin e komunitetit.</w:t>
      </w:r>
    </w:p>
    <w:p w:rsidR="000700CC" w:rsidRPr="0005161F" w:rsidRDefault="000700CC" w:rsidP="000700CC">
      <w:pPr>
        <w:pStyle w:val="ListParagraph"/>
        <w:numPr>
          <w:ilvl w:val="0"/>
          <w:numId w:val="11"/>
        </w:numPr>
        <w:spacing w:after="0" w:line="360" w:lineRule="auto"/>
        <w:jc w:val="both"/>
        <w:rPr>
          <w:rFonts w:ascii="Times New Roman" w:hAnsi="Times New Roman" w:cs="Times New Roman"/>
          <w:i/>
          <w:sz w:val="24"/>
          <w:szCs w:val="24"/>
          <w:lang w:val="sq-AL"/>
        </w:rPr>
      </w:pPr>
      <w:r w:rsidRPr="0005161F">
        <w:rPr>
          <w:rFonts w:ascii="Times New Roman" w:hAnsi="Times New Roman" w:cs="Times New Roman"/>
          <w:i/>
          <w:sz w:val="24"/>
          <w:szCs w:val="24"/>
          <w:lang w:val="sq-AL"/>
        </w:rPr>
        <w:t xml:space="preserve">Integrimi i grupeve të margjinalizuara: </w:t>
      </w:r>
    </w:p>
    <w:p w:rsidR="000700CC" w:rsidRPr="00287545" w:rsidRDefault="000700CC" w:rsidP="000700CC">
      <w:pPr>
        <w:spacing w:after="0" w:line="360" w:lineRule="auto"/>
        <w:jc w:val="both"/>
        <w:rPr>
          <w:rFonts w:ascii="Times New Roman" w:hAnsi="Times New Roman" w:cs="Times New Roman"/>
          <w:sz w:val="24"/>
          <w:szCs w:val="24"/>
          <w:lang w:val="sq-AL"/>
        </w:rPr>
      </w:pPr>
      <w:r w:rsidRPr="00287545">
        <w:rPr>
          <w:rFonts w:ascii="Times New Roman" w:hAnsi="Times New Roman" w:cs="Times New Roman"/>
          <w:sz w:val="24"/>
          <w:szCs w:val="24"/>
          <w:lang w:val="sq-AL"/>
        </w:rPr>
        <w:t>Veprimet dhe projektet e Sektorit të Rinisë synojnë të sigurojnë përfshirjen dhe mbështetjen e të rinjve nga grupet e margjinalizuara për të garantuar barazinë dhe diversitetin në komunitet.</w:t>
      </w:r>
    </w:p>
    <w:p w:rsidR="000700CC" w:rsidRPr="0005161F" w:rsidRDefault="000700CC" w:rsidP="000700CC">
      <w:pPr>
        <w:pStyle w:val="ListParagraph"/>
        <w:numPr>
          <w:ilvl w:val="0"/>
          <w:numId w:val="11"/>
        </w:numPr>
        <w:spacing w:after="0" w:line="360" w:lineRule="auto"/>
        <w:jc w:val="both"/>
        <w:rPr>
          <w:rFonts w:ascii="Times New Roman" w:hAnsi="Times New Roman" w:cs="Times New Roman"/>
          <w:i/>
          <w:sz w:val="24"/>
          <w:szCs w:val="24"/>
          <w:lang w:val="sq-AL"/>
        </w:rPr>
      </w:pPr>
      <w:r w:rsidRPr="0005161F">
        <w:rPr>
          <w:rFonts w:ascii="Times New Roman" w:hAnsi="Times New Roman" w:cs="Times New Roman"/>
          <w:i/>
          <w:sz w:val="24"/>
          <w:szCs w:val="24"/>
          <w:lang w:val="sq-AL"/>
        </w:rPr>
        <w:t xml:space="preserve">Fuqizimi i Organizatave Rinore: </w:t>
      </w:r>
    </w:p>
    <w:p w:rsidR="000700CC" w:rsidRPr="00287545" w:rsidRDefault="000700CC" w:rsidP="000700CC">
      <w:pPr>
        <w:spacing w:after="0" w:line="360" w:lineRule="auto"/>
        <w:jc w:val="both"/>
        <w:rPr>
          <w:rFonts w:ascii="Times New Roman" w:hAnsi="Times New Roman" w:cs="Times New Roman"/>
          <w:sz w:val="24"/>
          <w:szCs w:val="24"/>
          <w:lang w:val="sq-AL"/>
        </w:rPr>
      </w:pPr>
      <w:r w:rsidRPr="00287545">
        <w:rPr>
          <w:rFonts w:ascii="Times New Roman" w:hAnsi="Times New Roman" w:cs="Times New Roman"/>
          <w:sz w:val="24"/>
          <w:szCs w:val="24"/>
          <w:lang w:val="sq-AL"/>
        </w:rPr>
        <w:t>Sektori i Rinisë ofron seminare, trajnime, dhe kurse për aftësimin e të rinjve dhe për të fuqizuar organizatat rinore në komunat e Drenasit.</w:t>
      </w:r>
    </w:p>
    <w:p w:rsidR="000700CC" w:rsidRPr="0005161F" w:rsidRDefault="000700CC" w:rsidP="000700CC">
      <w:pPr>
        <w:pStyle w:val="ListParagraph"/>
        <w:numPr>
          <w:ilvl w:val="0"/>
          <w:numId w:val="11"/>
        </w:numPr>
        <w:spacing w:after="0" w:line="360" w:lineRule="auto"/>
        <w:jc w:val="both"/>
        <w:rPr>
          <w:rFonts w:ascii="Times New Roman" w:hAnsi="Times New Roman" w:cs="Times New Roman"/>
          <w:i/>
          <w:sz w:val="24"/>
          <w:szCs w:val="24"/>
          <w:lang w:val="sq-AL"/>
        </w:rPr>
      </w:pPr>
      <w:r w:rsidRPr="0005161F">
        <w:rPr>
          <w:rFonts w:ascii="Times New Roman" w:hAnsi="Times New Roman" w:cs="Times New Roman"/>
          <w:i/>
          <w:sz w:val="24"/>
          <w:szCs w:val="24"/>
          <w:lang w:val="sq-AL"/>
        </w:rPr>
        <w:t>Edukim</w:t>
      </w:r>
      <w:r>
        <w:rPr>
          <w:rFonts w:ascii="Times New Roman" w:hAnsi="Times New Roman" w:cs="Times New Roman"/>
          <w:i/>
          <w:sz w:val="24"/>
          <w:szCs w:val="24"/>
          <w:lang w:val="sq-AL"/>
        </w:rPr>
        <w:t>I</w:t>
      </w:r>
      <w:r w:rsidRPr="0005161F">
        <w:rPr>
          <w:rFonts w:ascii="Times New Roman" w:hAnsi="Times New Roman" w:cs="Times New Roman"/>
          <w:i/>
          <w:sz w:val="24"/>
          <w:szCs w:val="24"/>
          <w:lang w:val="sq-AL"/>
        </w:rPr>
        <w:t xml:space="preserve"> jo-formal: </w:t>
      </w:r>
    </w:p>
    <w:p w:rsidR="000700CC" w:rsidRPr="00287545" w:rsidRDefault="000700CC" w:rsidP="000700CC">
      <w:pPr>
        <w:spacing w:after="0" w:line="360" w:lineRule="auto"/>
        <w:jc w:val="both"/>
        <w:rPr>
          <w:rFonts w:ascii="Times New Roman" w:hAnsi="Times New Roman" w:cs="Times New Roman"/>
          <w:sz w:val="24"/>
          <w:szCs w:val="24"/>
          <w:lang w:val="sq-AL"/>
        </w:rPr>
      </w:pPr>
      <w:r w:rsidRPr="00287545">
        <w:rPr>
          <w:rFonts w:ascii="Times New Roman" w:hAnsi="Times New Roman" w:cs="Times New Roman"/>
          <w:sz w:val="24"/>
          <w:szCs w:val="24"/>
          <w:lang w:val="sq-AL"/>
        </w:rPr>
        <w:t>Stimulimi i të rinjve për të marrë pjesë në aktivitete edukative jo-formale që i ndihmojnë ata në zhvillimin personal dhe profesional.</w:t>
      </w:r>
    </w:p>
    <w:p w:rsidR="000700CC" w:rsidRPr="0005161F" w:rsidRDefault="000700CC" w:rsidP="000700CC">
      <w:pPr>
        <w:pStyle w:val="ListParagraph"/>
        <w:numPr>
          <w:ilvl w:val="0"/>
          <w:numId w:val="11"/>
        </w:numPr>
        <w:spacing w:after="0" w:line="360" w:lineRule="auto"/>
        <w:jc w:val="both"/>
        <w:rPr>
          <w:rFonts w:ascii="Times New Roman" w:hAnsi="Times New Roman" w:cs="Times New Roman"/>
          <w:i/>
          <w:sz w:val="24"/>
          <w:szCs w:val="24"/>
          <w:lang w:val="sq-AL"/>
        </w:rPr>
      </w:pPr>
      <w:r w:rsidRPr="0005161F">
        <w:rPr>
          <w:rFonts w:ascii="Times New Roman" w:hAnsi="Times New Roman" w:cs="Times New Roman"/>
          <w:i/>
          <w:sz w:val="24"/>
          <w:szCs w:val="24"/>
          <w:lang w:val="sq-AL"/>
        </w:rPr>
        <w:t>Infrastruktura Rinore:</w:t>
      </w:r>
    </w:p>
    <w:p w:rsidR="000700CC" w:rsidRPr="00287545" w:rsidRDefault="000700CC" w:rsidP="000700CC">
      <w:pPr>
        <w:spacing w:after="0" w:line="360" w:lineRule="auto"/>
        <w:jc w:val="both"/>
        <w:rPr>
          <w:rFonts w:ascii="Times New Roman" w:hAnsi="Times New Roman" w:cs="Times New Roman"/>
          <w:sz w:val="24"/>
          <w:szCs w:val="24"/>
          <w:lang w:val="sq-AL"/>
        </w:rPr>
      </w:pPr>
      <w:r w:rsidRPr="00287545">
        <w:rPr>
          <w:rFonts w:ascii="Times New Roman" w:hAnsi="Times New Roman" w:cs="Times New Roman"/>
          <w:sz w:val="24"/>
          <w:szCs w:val="24"/>
          <w:lang w:val="sq-AL"/>
        </w:rPr>
        <w:t>Investime në infrastrukturën rinore për të krijuar hapësira dhe mundësi për aktivitete dhe projekte të rinisë në komunën e Drenasit.</w:t>
      </w:r>
    </w:p>
    <w:p w:rsidR="000700CC" w:rsidRPr="00287545" w:rsidRDefault="000700CC" w:rsidP="000700CC">
      <w:pPr>
        <w:spacing w:after="0" w:line="360" w:lineRule="auto"/>
        <w:jc w:val="both"/>
        <w:rPr>
          <w:rFonts w:ascii="Times New Roman" w:hAnsi="Times New Roman" w:cs="Times New Roman"/>
          <w:sz w:val="24"/>
          <w:szCs w:val="24"/>
          <w:lang w:val="sq-AL"/>
        </w:rPr>
      </w:pP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287545">
        <w:rPr>
          <w:rFonts w:ascii="Times New Roman" w:hAnsi="Times New Roman" w:cs="Times New Roman"/>
          <w:sz w:val="24"/>
          <w:szCs w:val="24"/>
          <w:lang w:val="sq-AL"/>
        </w:rPr>
        <w:lastRenderedPageBreak/>
        <w:t>Sektori i rinisë bashkëpunon me Departamentin e Rinisë pranë Ministrisë së Kulturës, Rinisë dhe Sportit, organizatat vendore dhe ndërkombëtare për të realizuar projekte dhe aktivitete të ndryshme sipas nevojave të të rinjve. Dokumentet e rëndësishme të Sektorit të Rinisë përfshijnë Ligjin për Fuqizim dhe Pjesëmarrje të Rinisë, Udhëzimet Administrative për pjesëmarrjen e të rinjve në vendimmarrje, e</w:t>
      </w:r>
      <w:r>
        <w:rPr>
          <w:rFonts w:ascii="Times New Roman" w:hAnsi="Times New Roman" w:cs="Times New Roman"/>
          <w:sz w:val="24"/>
          <w:szCs w:val="24"/>
          <w:lang w:val="sq-AL"/>
        </w:rPr>
        <w:t xml:space="preserve">dukimin jo-formal të të rinjve e udhëzime të tjera që rregullojnë politikat e rinisë. </w:t>
      </w:r>
      <w:r w:rsidRPr="00287545">
        <w:rPr>
          <w:rFonts w:ascii="Times New Roman" w:hAnsi="Times New Roman" w:cs="Times New Roman"/>
          <w:sz w:val="24"/>
          <w:szCs w:val="24"/>
          <w:lang w:val="sq-AL"/>
        </w:rPr>
        <w:t>Këto dokumente udhëzojnë dhe rregullojnë aktivitetet dhe funksionimin e rinisë në komunat e Drenasit.</w:t>
      </w:r>
    </w:p>
    <w:p w:rsidR="000700CC" w:rsidRPr="00A07A78" w:rsidRDefault="000700CC" w:rsidP="000700CC">
      <w:pPr>
        <w:pStyle w:val="ListParagraph"/>
        <w:numPr>
          <w:ilvl w:val="0"/>
          <w:numId w:val="7"/>
        </w:numPr>
        <w:tabs>
          <w:tab w:val="left" w:pos="3706"/>
        </w:tabs>
        <w:spacing w:line="360" w:lineRule="auto"/>
        <w:jc w:val="center"/>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OBJEKTIVAT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Strategjia përcakton objektivat specifikë që synojnë realizimin e vizionit dhe misionit të komunës së Drenasit. Këto objektiva janë të dizajnuara për të adresuar nevojat e të rinjve të identifikuara në vlerësimin e mëparshëm dhe për të siguruar një zhvillim të gjithanshëm të rinisë në aspektet sociale, profesionale dhe personale.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Objektivi Strategjik:</w:t>
      </w:r>
      <w:r w:rsidRPr="00A07A78">
        <w:rPr>
          <w:rFonts w:ascii="Times New Roman" w:hAnsi="Times New Roman" w:cs="Times New Roman"/>
          <w:sz w:val="24"/>
          <w:szCs w:val="24"/>
          <w:lang w:val="sq-AL"/>
        </w:rPr>
        <w:t xml:space="preserve"> Komuna e Drenasit synon të mbështesë zhvillimin e të rinjve në të gjitha sferat e jetës, duke përmirësuar mundësitë e punësimit sipas profileve, duke shtuar pjesëmarrjen e tyre në aktivitetet kulturore, sportive, dhe sociale, dhe duke ndërtuar një kulturë të fuqishme të përfshirjes së të rinjve në proceset vendimmarrëse dhe zhvillimore.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OBJEKTIVA SPECIFIKE 1</w:t>
      </w:r>
      <w:r w:rsidRPr="00A07A78">
        <w:rPr>
          <w:rFonts w:ascii="Times New Roman" w:hAnsi="Times New Roman" w:cs="Times New Roman"/>
          <w:sz w:val="24"/>
          <w:szCs w:val="24"/>
          <w:lang w:val="sq-AL"/>
        </w:rPr>
        <w:t>: Përgatitja e të rinjve për tregun e punës dhe ndihma në zhvillimin e tyre në profesione të ndryshme.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Aktivitetet e parapara për realizimin e objektives përfshijnë:</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1.1 Krijimi i programeve të trajnimit dhe edukimit</w:t>
      </w:r>
      <w:r w:rsidRPr="00A07A78">
        <w:rPr>
          <w:rFonts w:ascii="Times New Roman" w:hAnsi="Times New Roman" w:cs="Times New Roman"/>
          <w:sz w:val="24"/>
          <w:szCs w:val="24"/>
          <w:lang w:val="sq-AL"/>
        </w:rPr>
        <w:t>: Hartimi dhe zbatimi i programeve të trajnimit dhe edukimit që ofrojnë njohuri dhe aftësi praktike në fusha të ndryshme profesionale, duke përfshirë sesione trajnimi për kompetencat e nevojshme në tregun e punës. Këto programe do të fokusohen në përforcimin e njohurive teknike dhe praktike që janë t</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 xml:space="preserve"> nevojshme për suksesin në fushat përkatëse.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1.2 Ofrimi i mundësive të praktikës dhe punësimit</w:t>
      </w:r>
      <w:r w:rsidRPr="00A07A78">
        <w:rPr>
          <w:rFonts w:ascii="Times New Roman" w:hAnsi="Times New Roman" w:cs="Times New Roman"/>
          <w:sz w:val="24"/>
          <w:szCs w:val="24"/>
          <w:lang w:val="sq-AL"/>
        </w:rPr>
        <w:t>: Identifikimi dhe krijimi i mundësive për praktika dhe punësim për të rinjtë në institucione, kompani dhe organizata. Ky aktivitet synon të ndërtojë ura ndërmjet të rinjve dhe tregut të punës, duke përfshirë lidhjet me industrinë dhe rrjetet e kontakteve profesionale për të lehtësuar hyrjen në punësim.</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lastRenderedPageBreak/>
        <w:t>1.3 Mentorimi dhe këshillimi individual</w:t>
      </w:r>
      <w:r w:rsidRPr="00A07A78">
        <w:rPr>
          <w:rFonts w:ascii="Times New Roman" w:hAnsi="Times New Roman" w:cs="Times New Roman"/>
          <w:sz w:val="24"/>
          <w:szCs w:val="24"/>
          <w:lang w:val="sq-AL"/>
        </w:rPr>
        <w:t>: Sigurimi i mbështetjes së personalizuar dhe këshillimit për të rinjtë, duke  ndihmuar ata në hartimin e programeve të tyre të karrierës dhe identifikimin e mundësive për zhvillim profesional. Kjo përfshin orientimin e tyre drejt zgjedhjeve të duhura akademike dhe profesionale që përputhen me interesat dhe aftësitë e tyre.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1.4 Organizimi i ngjarjeve dhe punëtorive</w:t>
      </w:r>
      <w:r w:rsidRPr="00A07A78">
        <w:rPr>
          <w:rFonts w:ascii="Times New Roman" w:hAnsi="Times New Roman" w:cs="Times New Roman"/>
          <w:sz w:val="24"/>
          <w:szCs w:val="24"/>
          <w:lang w:val="sq-AL"/>
        </w:rPr>
        <w:t>: Organizimi i ngjarjeve dhe punëtorive të ndryshme që janë të orientuara drejt tregut të punës, si seminare dhe takime me punëdhënës potencial përmes panaireve të karrierës dhe sesioneve informuese me profesionistë të fushave të ndryshme. Këto aktivitete synojnë të zgjerojnë rrjetin profesional të të rinjve dhe të ofrojnë njohje të drejtpërdrejtë me mundësitë e punësimit.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1.5 Zhvillimi i aftësive të buta</w:t>
      </w:r>
      <w:r w:rsidRPr="00A07A78">
        <w:rPr>
          <w:rFonts w:ascii="Times New Roman" w:hAnsi="Times New Roman" w:cs="Times New Roman"/>
          <w:sz w:val="24"/>
          <w:szCs w:val="24"/>
          <w:lang w:val="sq-AL"/>
        </w:rPr>
        <w:t>: Përmirësimi i aftësive të buta të të rinjve, si komunikimi, menaxhimi i kohës, bashkëpunimi dhe negociatat. Këto aftësi janë thelbësore për suksesin në çdo ambient pune dhe ndihmojnë në përshtatjen e të rinjve me kulturën organizative.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1.6 Përgatitja për kërkimin e punës</w:t>
      </w:r>
      <w:r w:rsidRPr="00A07A78">
        <w:rPr>
          <w:rFonts w:ascii="Times New Roman" w:hAnsi="Times New Roman" w:cs="Times New Roman"/>
          <w:sz w:val="24"/>
          <w:szCs w:val="24"/>
          <w:lang w:val="sq-AL"/>
        </w:rPr>
        <w:t>: Ofrimi i mbështetjes për të rinjtë në përgatitjen e materialeve të aplikimit për punë, si CV-të dhe letrat motivuese, dhe në përgatitjen për intervista pune. Kjo gjithashtu përfshin ndihmën në kërkimin e mundësive të punës nëpërmjet platformave të specializuara dhe rrjeteve profesionale, duke i pajisur me mjetet e duhura për të naviguar tregun e punës me sukses.</w:t>
      </w:r>
    </w:p>
    <w:p w:rsidR="000700CC" w:rsidRPr="009076F0" w:rsidRDefault="000700CC" w:rsidP="000700CC">
      <w:pPr>
        <w:tabs>
          <w:tab w:val="left" w:pos="3706"/>
        </w:tabs>
        <w:spacing w:line="360" w:lineRule="auto"/>
        <w:jc w:val="both"/>
        <w:rPr>
          <w:rFonts w:ascii="Times New Roman" w:hAnsi="Times New Roman" w:cs="Times New Roman"/>
          <w:sz w:val="24"/>
          <w:szCs w:val="24"/>
          <w:lang w:val="sq-AL"/>
        </w:rPr>
      </w:pPr>
      <w:r w:rsidRPr="009076F0">
        <w:rPr>
          <w:rFonts w:ascii="Times New Roman" w:hAnsi="Times New Roman" w:cs="Times New Roman"/>
          <w:b/>
          <w:bCs/>
          <w:sz w:val="24"/>
          <w:szCs w:val="24"/>
          <w:lang w:val="sq-AL"/>
        </w:rPr>
        <w:t>OBJEKTIVA SPECIFIKE 2</w:t>
      </w:r>
      <w:r w:rsidRPr="009076F0">
        <w:rPr>
          <w:rFonts w:ascii="Times New Roman" w:hAnsi="Times New Roman" w:cs="Times New Roman"/>
          <w:sz w:val="24"/>
          <w:szCs w:val="24"/>
          <w:lang w:val="sq-AL"/>
        </w:rPr>
        <w:t>: Përforcimi i pjesëmarrjes aktive të të rinjve në vendimmarrje dhe proceset lokale.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Aktivitetet e parapara për realizimin e objektives janë:</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2.1. Krijimi i platformave dhe forumeve</w:t>
      </w:r>
      <w:r w:rsidRPr="00A07A78">
        <w:rPr>
          <w:rFonts w:ascii="Times New Roman" w:hAnsi="Times New Roman" w:cs="Times New Roman"/>
          <w:sz w:val="24"/>
          <w:szCs w:val="24"/>
          <w:lang w:val="sq-AL"/>
        </w:rPr>
        <w:t>: Organizimi i takimeve, forumeve dhe aktiviteteve të hapura për të rinjtë në nivel lokal për të shkëmbyer ide, të shprehin pikëpamjet e tyre dhe të marrin pjesë në diskutime për çështje që e prekin komunitetin. Këto platforma do të jenë hapësira inkurajuese ku të rinjtë mund të ndihen të dëgjuar dhe të ndikojnë në vendimet që i prekin ata dhe komunitetin e tyre.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2.2. Inkurajimi i përfaqësimit të të rinjve në institucionet vendore</w:t>
      </w:r>
      <w:r w:rsidRPr="00A07A78">
        <w:rPr>
          <w:rFonts w:ascii="Times New Roman" w:hAnsi="Times New Roman" w:cs="Times New Roman"/>
          <w:sz w:val="24"/>
          <w:szCs w:val="24"/>
          <w:lang w:val="sq-AL"/>
        </w:rPr>
        <w:t xml:space="preserve">: Inkurajimi dhe mbështetja e të rinjve për të marrë pjesë në organet vendimmarrëse dhe grupet këshillimore, duke përfshirë këshillat lokale, OJQ-të rinore, kulturën dhe sportin, si dhe grupet jo formale dhe strukturat e tjera </w:t>
      </w:r>
      <w:r w:rsidRPr="00A07A78">
        <w:rPr>
          <w:rFonts w:ascii="Times New Roman" w:hAnsi="Times New Roman" w:cs="Times New Roman"/>
          <w:sz w:val="24"/>
          <w:szCs w:val="24"/>
          <w:lang w:val="sq-AL"/>
        </w:rPr>
        <w:lastRenderedPageBreak/>
        <w:t>vendimmarrëse. Kjo përfshin ndërtimin e kapaciteteve dhe ofrimin e burimeve që të rinjtë të mund të marrin pjesë efektivisht në procese.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2.3. Ofrimi i trajnimeve dhe aftësive për angazhimin civil</w:t>
      </w:r>
      <w:r w:rsidRPr="00A07A78">
        <w:rPr>
          <w:rFonts w:ascii="Times New Roman" w:hAnsi="Times New Roman" w:cs="Times New Roman"/>
          <w:sz w:val="24"/>
          <w:szCs w:val="24"/>
          <w:lang w:val="sq-AL"/>
        </w:rPr>
        <w:t>: Organizimi i trajnimeve dhe aktiviteteve që ofrojnë aftësi për të rinjtë për të marrë pjesë në aktivizmin social dhe të angazhohen në proceset demokratike dhe qytetare. Këto trajnime do të përfshijnë edukimin mbi të drejtat dhe përgjegjësitë qytetare, si dhe teknikat e ndikimit dhe lobimit.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2.4. Bashkëpunimi me organizatat rinore dhe shoqërinë civile</w:t>
      </w:r>
      <w:r w:rsidRPr="00A07A78">
        <w:rPr>
          <w:rFonts w:ascii="Times New Roman" w:hAnsi="Times New Roman" w:cs="Times New Roman"/>
          <w:sz w:val="24"/>
          <w:szCs w:val="24"/>
          <w:lang w:val="sq-AL"/>
        </w:rPr>
        <w:t>: Krijimi i partneriteteve me organizata rinore dhe shoqërinë civile për të organizuar evente, projekte dhe fushata që inkurajojnë pjesëmarrjen e të rinjve në vendimmarrje dhe proceset lokale. Këto partneritete do të ndihmojnë në zgjerimin e rrjetit të mbështetjes dhe në shkëmbimin e resurseve dhe njohurive.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2.5. Përdorimi i teknologjisë dhe mediave sociale</w:t>
      </w:r>
      <w:r w:rsidRPr="00A07A78">
        <w:rPr>
          <w:rFonts w:ascii="Times New Roman" w:hAnsi="Times New Roman" w:cs="Times New Roman"/>
          <w:sz w:val="24"/>
          <w:szCs w:val="24"/>
          <w:lang w:val="sq-AL"/>
        </w:rPr>
        <w:t>: Efektivizimi i përdorimit të teknologjisë dhe mediave sociale për të komunikuar dhe mobilizuar të rinjtë për të marrë pjesë në diskutimet dhe proceset vendimmarrëse. Kjo përfshin zhvillimin dhe përdorimin e platformatave të mediave sociale dhe aplikacioneve të dedikuara për të lehtësuar komunikimin dhe pjesëmarrjen aktive.</w:t>
      </w:r>
    </w:p>
    <w:p w:rsidR="000700CC" w:rsidRPr="00A07A78" w:rsidRDefault="000700CC" w:rsidP="000700CC">
      <w:p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2.6. Krijimi i politikave dhe strukturave që inkurajojnë pjesëmarrjen e të rinjve</w:t>
      </w:r>
      <w:r w:rsidRPr="00A07A78">
        <w:rPr>
          <w:rFonts w:ascii="Times New Roman" w:hAnsi="Times New Roman" w:cs="Times New Roman"/>
          <w:sz w:val="24"/>
          <w:szCs w:val="24"/>
          <w:lang w:val="sq-AL"/>
        </w:rPr>
        <w:t>: Përpilimi dhe zbatimi i politikave lokale që inkurajojnë pjesëmarrjen e të rinjve në vendimmarrje dhe proceset qytetare. Kjo do të përfshijë politikat që krijojnë kuota për të rinjtë në organet vendimmarrëse dhe në forumet këshillimore, si dhe ndërtimin e një forumi të rinisë që funksionon si një platformë e pavarur për të artikuluar çështje dhe propozime nga të rinjtë.</w:t>
      </w:r>
    </w:p>
    <w:p w:rsidR="000700CC" w:rsidRPr="009076F0" w:rsidRDefault="000700CC" w:rsidP="000700CC">
      <w:pPr>
        <w:tabs>
          <w:tab w:val="left" w:pos="3706"/>
        </w:tabs>
        <w:spacing w:line="360" w:lineRule="auto"/>
        <w:jc w:val="both"/>
        <w:rPr>
          <w:rFonts w:ascii="Times New Roman" w:hAnsi="Times New Roman" w:cs="Times New Roman"/>
          <w:b/>
          <w:sz w:val="24"/>
          <w:szCs w:val="24"/>
          <w:lang w:val="sq-AL"/>
        </w:rPr>
      </w:pPr>
      <w:r>
        <w:rPr>
          <w:rFonts w:ascii="Times New Roman" w:hAnsi="Times New Roman" w:cs="Times New Roman"/>
          <w:b/>
          <w:bCs/>
          <w:sz w:val="24"/>
          <w:szCs w:val="24"/>
          <w:lang w:val="sq-AL"/>
        </w:rPr>
        <w:br/>
      </w:r>
      <w:r w:rsidRPr="009076F0">
        <w:rPr>
          <w:rFonts w:ascii="Times New Roman" w:hAnsi="Times New Roman" w:cs="Times New Roman"/>
          <w:b/>
          <w:bCs/>
          <w:sz w:val="24"/>
          <w:szCs w:val="24"/>
          <w:lang w:val="sq-AL"/>
        </w:rPr>
        <w:t>OBJEKTIVAT SPECIFIKE 3</w:t>
      </w:r>
      <w:r w:rsidRPr="009076F0">
        <w:rPr>
          <w:rFonts w:ascii="Times New Roman" w:hAnsi="Times New Roman" w:cs="Times New Roman"/>
          <w:sz w:val="24"/>
          <w:szCs w:val="24"/>
          <w:lang w:val="sq-AL"/>
        </w:rPr>
        <w:t>: Promovimi i një stili jetese të shëndetshëm dhe ofrimi i shërbimeve për mirëqenie të të rinjve.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Aktivitetet e parapara për realizimin e objektivit: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3.1. Organizimi i programeve të edukimit dhe ndërgjegjësimit</w:t>
      </w:r>
      <w:r w:rsidRPr="00A07A78">
        <w:rPr>
          <w:rFonts w:ascii="Times New Roman" w:hAnsi="Times New Roman" w:cs="Times New Roman"/>
          <w:sz w:val="24"/>
          <w:szCs w:val="24"/>
          <w:lang w:val="sq-AL"/>
        </w:rPr>
        <w:t>: Zhvillimi dhe implementimi i programeve të edukimit dhe ndërgjegjësimit që promovojnë një stil jetese të shëndetshëm, duke përfshirë informacionin në lidhje me ushqimin e shëndetshëm, aktivitetin fizik, gjumin e mirë, dhe menaxhimin e stresit.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lastRenderedPageBreak/>
        <w:t>3.2. Ofrimi i këshillimit individual dhe ndihmës së personave në nevojë</w:t>
      </w:r>
      <w:r w:rsidRPr="00A07A78">
        <w:rPr>
          <w:rFonts w:ascii="Times New Roman" w:hAnsi="Times New Roman" w:cs="Times New Roman"/>
          <w:sz w:val="24"/>
          <w:szCs w:val="24"/>
          <w:lang w:val="sq-AL"/>
        </w:rPr>
        <w:t>: Sigurimi i këshillimit individual dhe ndihmës për të rinjtë për të mbajtur një stil jetese të shëndetshëm, duke përfshirë ndihmën për të përcaktuar qëllime personale të mirëqenies dhe strategji për t'i arritur ato.</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3.3. Organizimi i aktiviteteve fizike dhe rekreativo-sportive</w:t>
      </w:r>
      <w:r w:rsidRPr="00A07A78">
        <w:rPr>
          <w:rFonts w:ascii="Times New Roman" w:hAnsi="Times New Roman" w:cs="Times New Roman"/>
          <w:sz w:val="24"/>
          <w:szCs w:val="24"/>
          <w:lang w:val="sq-AL"/>
        </w:rPr>
        <w:t>: Organizimi i aktiviteteve fizike dhe sportive të ndryshme, duke përfshirë turne sportive, gara, ligjerime, ushtrimi dhe programe sportive të përhershme që inkurajojnë të rinjtë për të qëndruar aktiv.</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3.4. Përdorimi i teknologjisë për promovimin e shëndetit</w:t>
      </w:r>
      <w:r w:rsidRPr="00A07A78">
        <w:rPr>
          <w:rFonts w:ascii="Times New Roman" w:hAnsi="Times New Roman" w:cs="Times New Roman"/>
          <w:sz w:val="24"/>
          <w:szCs w:val="24"/>
          <w:lang w:val="sq-AL"/>
        </w:rPr>
        <w:t>: Zhvillimi dhe përdorimi i aplikacioneve dhe platformave digjitale që inkurajojnë dhe ndihmojnë të rinjtë për të monitoruar dhe përmirësuar shëndetin e tyre, duke përfshirë aplikacione për trajnime ushtrimi dhe për të monitoruar konsumin e ushqimit.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3.5. Promovimi i shërbimeve shëndetësore të specializuara</w:t>
      </w:r>
      <w:r w:rsidRPr="00A07A78">
        <w:rPr>
          <w:rFonts w:ascii="Times New Roman" w:hAnsi="Times New Roman" w:cs="Times New Roman"/>
          <w:sz w:val="24"/>
          <w:szCs w:val="24"/>
          <w:lang w:val="sq-AL"/>
        </w:rPr>
        <w:t>: Promovimi i shërbimeve shëndetësore të specializuara për të rinjtë, duke përfshirë promovimin e shërbimeve psikologjike, kujdesin për shëndetin seksual dhe riprodhues, dhe kujdesin për probleme të veçanta shëndetësore.</w:t>
      </w:r>
    </w:p>
    <w:p w:rsidR="000700CC" w:rsidRPr="009076F0" w:rsidRDefault="000700CC" w:rsidP="000700CC">
      <w:pPr>
        <w:tabs>
          <w:tab w:val="left" w:pos="3706"/>
        </w:tabs>
        <w:spacing w:line="360" w:lineRule="auto"/>
        <w:jc w:val="both"/>
        <w:rPr>
          <w:rFonts w:ascii="Times New Roman" w:hAnsi="Times New Roman" w:cs="Times New Roman"/>
          <w:b/>
          <w:sz w:val="24"/>
          <w:szCs w:val="24"/>
          <w:lang w:val="sq-AL"/>
        </w:rPr>
      </w:pPr>
      <w:r>
        <w:rPr>
          <w:rFonts w:ascii="Times New Roman" w:hAnsi="Times New Roman" w:cs="Times New Roman"/>
          <w:b/>
          <w:bCs/>
          <w:sz w:val="24"/>
          <w:szCs w:val="24"/>
          <w:lang w:val="sq-AL"/>
        </w:rPr>
        <w:br/>
      </w:r>
      <w:r w:rsidRPr="009076F0">
        <w:rPr>
          <w:rFonts w:ascii="Times New Roman" w:hAnsi="Times New Roman" w:cs="Times New Roman"/>
          <w:b/>
          <w:bCs/>
          <w:sz w:val="24"/>
          <w:szCs w:val="24"/>
          <w:lang w:val="sq-AL"/>
        </w:rPr>
        <w:t>OBJEKTIVAT SPECIFIKE 4</w:t>
      </w:r>
      <w:r w:rsidRPr="009076F0">
        <w:rPr>
          <w:rFonts w:ascii="Times New Roman" w:hAnsi="Times New Roman" w:cs="Times New Roman"/>
          <w:b/>
          <w:sz w:val="24"/>
          <w:szCs w:val="24"/>
          <w:lang w:val="sq-AL"/>
        </w:rPr>
        <w:t xml:space="preserve">: </w:t>
      </w:r>
      <w:r w:rsidRPr="009076F0">
        <w:rPr>
          <w:rFonts w:ascii="Times New Roman" w:hAnsi="Times New Roman" w:cs="Times New Roman"/>
          <w:sz w:val="24"/>
          <w:szCs w:val="24"/>
          <w:lang w:val="sq-AL"/>
        </w:rPr>
        <w:t>Sigurimi i barazisë dhe pjesëmarrjes së të gjithë të rinjve në jetën sociale dhe politike të komunitetit. Këtu rekomandohet mbështetja për të rinjtë me aftësi të kufizuara, mbështetja për të rinjtë e grupeve të tjera të margjinalizuara.</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Aktivitetet e parapara për realizimin e objektivit: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4.1. Krijimi i ambienteve gjithpërfshirëse</w:t>
      </w:r>
      <w:r w:rsidRPr="00A07A78">
        <w:rPr>
          <w:rFonts w:ascii="Times New Roman" w:hAnsi="Times New Roman" w:cs="Times New Roman"/>
          <w:sz w:val="24"/>
          <w:szCs w:val="24"/>
          <w:lang w:val="sq-AL"/>
        </w:rPr>
        <w:t>: Krijimi i ambienteve gjithpërfshirëse dhe të mbështetura në shkolla, institucione publike dhe komunitete që inkurajojnë pjesëmarrjen dhe kontributin e të gjithë të rinjve, duke përfshirë përmirësimin e qasjes për të rinjtë me aftësi të kufizuara.</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4.2. Ndërtimi i partneriteteve me organizatat e shoqërisë civile</w:t>
      </w:r>
      <w:r w:rsidRPr="00A07A78">
        <w:rPr>
          <w:rFonts w:ascii="Times New Roman" w:hAnsi="Times New Roman" w:cs="Times New Roman"/>
          <w:sz w:val="24"/>
          <w:szCs w:val="24"/>
          <w:lang w:val="sq-AL"/>
        </w:rPr>
        <w:t>: Bashkëpunimi dhe partneritetet me organizatat e shoqërisë civile që përfaqësojnë dhe mbrojnë interesat e të rinjve të grupeve të tjera të margjinalizuara, duke përfshirë organizatat që punojnë me të rinjtë me aftësi të kufizuara, të rinjtë me gjendje të rënduar sociale-ekonomike dhe të rinjtë me përvoja të ndryshme shoqërore dhe kulturore.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lastRenderedPageBreak/>
        <w:t>4.3. Ofrimi i trajnimeve dhe fushatave informuese</w:t>
      </w:r>
      <w:r w:rsidRPr="00A07A78">
        <w:rPr>
          <w:rFonts w:ascii="Times New Roman" w:hAnsi="Times New Roman" w:cs="Times New Roman"/>
          <w:sz w:val="24"/>
          <w:szCs w:val="24"/>
          <w:lang w:val="sq-AL"/>
        </w:rPr>
        <w:t>: Organizimi i trajnimeve dhe aktiviteteve informuese për të rinjtë për të drejtat e tyre, proceset politike dhe mënyrat për të marrë pjesë në jetën sociale dhe politike të komunitetit.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4.4. Inkurajimi i përfaqësimit të diversitetit në institucionet vendore</w:t>
      </w:r>
      <w:r w:rsidRPr="00A07A78">
        <w:rPr>
          <w:rFonts w:ascii="Times New Roman" w:hAnsi="Times New Roman" w:cs="Times New Roman"/>
          <w:sz w:val="24"/>
          <w:szCs w:val="24"/>
          <w:lang w:val="sq-AL"/>
        </w:rPr>
        <w:t>: Inkurajimi dhe mbështetja e përfaqësimit të diversitetit në mekanizmat shoqëror dhe institucional dhe grupet këshillimore, duke siguruar që të rinjtë nga komunitetet e ndryshme dhe grupet e margjinalizuara të kenë zë në proceset vendimmarrëse.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4.5. Ofrimi i këshillimit</w:t>
      </w:r>
      <w:r w:rsidRPr="00A07A78">
        <w:rPr>
          <w:rFonts w:ascii="Times New Roman" w:hAnsi="Times New Roman" w:cs="Times New Roman"/>
          <w:sz w:val="24"/>
          <w:szCs w:val="24"/>
          <w:lang w:val="sq-AL"/>
        </w:rPr>
        <w:t>: Sigurimi i këshillimit për të rinjtë që kanë nevojë për mbështetje të veçantë për të marrë pjesë në jetën sociale dhe politike të komunitetit, duke përfshirë të rinjtë me aftësi të kufizuara.</w:t>
      </w:r>
    </w:p>
    <w:p w:rsidR="000700CC" w:rsidRPr="009076F0" w:rsidRDefault="000700CC" w:rsidP="000700CC">
      <w:pPr>
        <w:tabs>
          <w:tab w:val="left" w:pos="3706"/>
        </w:tabs>
        <w:spacing w:line="360" w:lineRule="auto"/>
        <w:jc w:val="both"/>
        <w:rPr>
          <w:rFonts w:ascii="Times New Roman" w:hAnsi="Times New Roman" w:cs="Times New Roman"/>
          <w:b/>
          <w:sz w:val="24"/>
          <w:szCs w:val="24"/>
          <w:lang w:val="sq-AL"/>
        </w:rPr>
      </w:pPr>
      <w:r>
        <w:rPr>
          <w:rFonts w:ascii="Times New Roman" w:hAnsi="Times New Roman" w:cs="Times New Roman"/>
          <w:b/>
          <w:bCs/>
          <w:sz w:val="24"/>
          <w:szCs w:val="24"/>
          <w:lang w:val="sq-AL"/>
        </w:rPr>
        <w:br/>
        <w:t xml:space="preserve">OBJEKTIVAT SPECIFIKE </w:t>
      </w:r>
      <w:r w:rsidRPr="009076F0">
        <w:rPr>
          <w:rFonts w:ascii="Times New Roman" w:hAnsi="Times New Roman" w:cs="Times New Roman"/>
          <w:b/>
          <w:bCs/>
          <w:sz w:val="24"/>
          <w:szCs w:val="24"/>
          <w:lang w:val="sq-AL"/>
        </w:rPr>
        <w:t>5</w:t>
      </w:r>
      <w:r w:rsidRPr="009076F0">
        <w:rPr>
          <w:rFonts w:ascii="Times New Roman" w:hAnsi="Times New Roman" w:cs="Times New Roman"/>
          <w:b/>
          <w:sz w:val="24"/>
          <w:szCs w:val="24"/>
          <w:lang w:val="sq-AL"/>
        </w:rPr>
        <w:t xml:space="preserve">: </w:t>
      </w:r>
      <w:r w:rsidRPr="009076F0">
        <w:rPr>
          <w:rFonts w:ascii="Times New Roman" w:hAnsi="Times New Roman" w:cs="Times New Roman"/>
          <w:sz w:val="24"/>
          <w:szCs w:val="24"/>
          <w:lang w:val="sq-AL"/>
        </w:rPr>
        <w:t>Inkurajimi i të rinjve për të angazhuar në punë vullnetare për të kontribuar në mirëqenien e komunitetit.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Aktivitetet e parapara për realizimin e objektivit: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5.1. Promovimi i ndërgjegjësimit dhe motivimit</w:t>
      </w:r>
      <w:r w:rsidRPr="00A07A78">
        <w:rPr>
          <w:rFonts w:ascii="Times New Roman" w:hAnsi="Times New Roman" w:cs="Times New Roman"/>
          <w:sz w:val="24"/>
          <w:szCs w:val="24"/>
          <w:lang w:val="sq-AL"/>
        </w:rPr>
        <w:t>: Organizimi i fushatave të ndërgjegjësimit dhe motivimit për të rinjtë, duke përfshirë sesione informuese, takime të grupeve rinore dhe prezantime të projekteve vullnetare që kanë një impakt pozitiv në komunitet.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5.2. Identifikimi i nevojave të komunitetit dhe të projekteve vullnetare</w:t>
      </w:r>
      <w:r w:rsidRPr="00A07A78">
        <w:rPr>
          <w:rFonts w:ascii="Times New Roman" w:hAnsi="Times New Roman" w:cs="Times New Roman"/>
          <w:sz w:val="24"/>
          <w:szCs w:val="24"/>
          <w:lang w:val="sq-AL"/>
        </w:rPr>
        <w:t>: Identifikimi i nevojave konkrete të komunitetit dhe identifikimi i projekteve vullnetare të cilat mund të adresojnë ato nevoja në mënyrë efektive dhe efikase.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5.3. Organizimi i ngjarjeve dhe aktiviteteve vullnetare</w:t>
      </w:r>
      <w:r w:rsidRPr="00A07A78">
        <w:rPr>
          <w:rFonts w:ascii="Times New Roman" w:hAnsi="Times New Roman" w:cs="Times New Roman"/>
          <w:sz w:val="24"/>
          <w:szCs w:val="24"/>
          <w:lang w:val="sq-AL"/>
        </w:rPr>
        <w:t>: Organizimi i ngjarjeve dhe aktiviteteve vullnetare të ndryshme, duke përfshirë punë nëpër ambientet e mjedisit, ndihmë në komunitet, vizita në shtëpitë e të moshuarve dhe aktivitete të tjera që kontribuojnë në mirëqenien e komunitetit.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5.4. Krijimi i platformave vullnetare</w:t>
      </w:r>
      <w:r w:rsidRPr="00A07A78">
        <w:rPr>
          <w:rFonts w:ascii="Times New Roman" w:hAnsi="Times New Roman" w:cs="Times New Roman"/>
          <w:sz w:val="24"/>
          <w:szCs w:val="24"/>
          <w:lang w:val="sq-AL"/>
        </w:rPr>
        <w:t>: Krijimi i platformave për të rinjtë për të identifikuar dhe marrë pjesë në projekte vullnetare, duke përfshirë platformat dixhitale, faqet e internetit dhe aplikacionet mobile.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lastRenderedPageBreak/>
        <w:t>5.5. Ofrimi i njohurive dhe aftësive të nevojshme</w:t>
      </w:r>
      <w:r w:rsidRPr="00A07A78">
        <w:rPr>
          <w:rFonts w:ascii="Times New Roman" w:hAnsi="Times New Roman" w:cs="Times New Roman"/>
          <w:sz w:val="24"/>
          <w:szCs w:val="24"/>
          <w:lang w:val="sq-AL"/>
        </w:rPr>
        <w:t>: Ofrimi i trajnimeve dhe aftësive të nevojshme për të rinjtë për të qenë të suksesshëm në punën vullnetare, duke përfshirë aftësitë e komunikimit, menaxhimin e kohës dhe bashkëpunimin në grup.</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5.6. Inkurajimi dhe vlerësimi i kontributit vullnetar</w:t>
      </w:r>
      <w:r w:rsidRPr="00A07A78">
        <w:rPr>
          <w:rFonts w:ascii="Times New Roman" w:hAnsi="Times New Roman" w:cs="Times New Roman"/>
          <w:sz w:val="24"/>
          <w:szCs w:val="24"/>
          <w:lang w:val="sq-AL"/>
        </w:rPr>
        <w:t>: Inkurajimi dhe vlerësimi i kontributit vullnetar të të rinjve, duke përfshirë rikonfirmimin e tyre për përpjekjet dhe impaktin e tyre në komunitet përmes ceremonive si ajo për shpalljen e vullnetarit të vitit.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OBJEKTIVAT SPECIFIKE 6</w:t>
      </w:r>
      <w:r w:rsidRPr="00A07A78">
        <w:rPr>
          <w:rFonts w:ascii="Times New Roman" w:hAnsi="Times New Roman" w:cs="Times New Roman"/>
          <w:sz w:val="24"/>
          <w:szCs w:val="24"/>
          <w:lang w:val="sq-AL"/>
        </w:rPr>
        <w:t>: Inkurajimi i të rinjve për të angazhuar në aktivitete fizike dhe sportive, por edhe nga arti, kultura dhe trashëgimia kulturore.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Aktivitetet e parapara për realizimin e objektivit: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6.1. Organizimi i ngjarjeve dhe aktiviteteve rekreativo-sportive</w:t>
      </w:r>
      <w:r w:rsidRPr="00A07A78">
        <w:rPr>
          <w:rFonts w:ascii="Times New Roman" w:hAnsi="Times New Roman" w:cs="Times New Roman"/>
          <w:sz w:val="24"/>
          <w:szCs w:val="24"/>
          <w:lang w:val="sq-AL"/>
        </w:rPr>
        <w:t>: Organizimi i turneve, garave dhe aktiviteteve sportive të ndryshme për të rinjtë, duke përfshirë futbollin, basketbollin, volejbolin dhe sporte të tjera popullore, sidomos atyre që përfshijnë pjesëmarrjen e personave me aftësi të kufizuara.</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6.2. Ofrimi i programeve dhe kurseve artistike dhe kulturore</w:t>
      </w:r>
      <w:r w:rsidRPr="00A07A78">
        <w:rPr>
          <w:rFonts w:ascii="Times New Roman" w:hAnsi="Times New Roman" w:cs="Times New Roman"/>
          <w:sz w:val="24"/>
          <w:szCs w:val="24"/>
          <w:lang w:val="sq-AL"/>
        </w:rPr>
        <w:t>: Organizimi i programeve dhe kurseve për të rinjtë në fusha të artit, muzikës, teatrit, vallëzimit, artizanatit dhe trashëgimisë kulturore, duke përfshirë punëtoritë kreative dhe vizitat studimore.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6.3. Krijimi i ambienteve të mbështetëse për aktivitetet alternative</w:t>
      </w:r>
      <w:r w:rsidRPr="00A07A78">
        <w:rPr>
          <w:rFonts w:ascii="Times New Roman" w:hAnsi="Times New Roman" w:cs="Times New Roman"/>
          <w:sz w:val="24"/>
          <w:szCs w:val="24"/>
          <w:lang w:val="sq-AL"/>
        </w:rPr>
        <w:t>: Sigurimi i hapësirave dhe burimeve për të rinjtë për të eksploruar dhe zhvilluar interesat e tyre në aktivitete alternative si ekskursione natyrore, udhëtime dhe studime kulturore.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6.4. Organizimi i eventeve kulturore dhe festivaleve rinore</w:t>
      </w:r>
      <w:r w:rsidRPr="00A07A78">
        <w:rPr>
          <w:rFonts w:ascii="Times New Roman" w:hAnsi="Times New Roman" w:cs="Times New Roman"/>
          <w:sz w:val="24"/>
          <w:szCs w:val="24"/>
          <w:lang w:val="sq-AL"/>
        </w:rPr>
        <w:t>: Organizimi i eventeve kulturore, festivaleve rinore dhe ngjarjeve komunitare që promovojnë diversitetin kulturor dhe artistik dhe inkurajojnë pjesëmarrjen e të rinjve në përmbajtje të ndryshme artistike dhe kulturore.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6.5. Përdorimi i teknologjisë për të inkurajuar pjesëmarrjen</w:t>
      </w:r>
      <w:r w:rsidRPr="00A07A78">
        <w:rPr>
          <w:rFonts w:ascii="Times New Roman" w:hAnsi="Times New Roman" w:cs="Times New Roman"/>
          <w:sz w:val="24"/>
          <w:szCs w:val="24"/>
          <w:lang w:val="sq-AL"/>
        </w:rPr>
        <w:t>: Përdorimi i mediave sociale dhe teknologjisë për të promovuar dhe inkurajuar pjesëmarrjen e të rinjve në aktivitete fizike, sportive, artistike dhe kulturore, duke krijuar platforma dixhitale dhe aplikacione që inkurajojnë bashkëpunimin dhe shkëmbimin e përvojave.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OBJEKTIVAT SPECIFIKE 7:</w:t>
      </w:r>
      <w:r w:rsidRPr="00A07A78">
        <w:rPr>
          <w:rFonts w:ascii="Times New Roman" w:hAnsi="Times New Roman" w:cs="Times New Roman"/>
          <w:sz w:val="24"/>
          <w:szCs w:val="24"/>
          <w:lang w:val="sq-AL"/>
        </w:rPr>
        <w:t xml:space="preserve"> Mbështetje e nismeve që promovojnë ekonominë e gjelbërt dhe mjediset të pastërta dhe të gjelbra.</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lastRenderedPageBreak/>
        <w:t>Aktivitetet e parapara për realizimin e objektivit: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7.1. Inkurajimi i nismave për energjinë e ripërtrishme</w:t>
      </w:r>
      <w:r w:rsidRPr="00A07A78">
        <w:rPr>
          <w:rFonts w:ascii="Times New Roman" w:hAnsi="Times New Roman" w:cs="Times New Roman"/>
          <w:sz w:val="24"/>
          <w:szCs w:val="24"/>
          <w:lang w:val="sq-AL"/>
        </w:rPr>
        <w:t>: Mbështetja dhe promovimi i investimeve në projekte për energjinë e ripërtritshme.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7.2. Promovimi i transportit ekologjik</w:t>
      </w:r>
      <w:r w:rsidRPr="00A07A78">
        <w:rPr>
          <w:rFonts w:ascii="Times New Roman" w:hAnsi="Times New Roman" w:cs="Times New Roman"/>
          <w:sz w:val="24"/>
          <w:szCs w:val="24"/>
          <w:lang w:val="sq-AL"/>
        </w:rPr>
        <w:t>: Inkurajimi i përdorimit të transportit publik, biçikletave, makinave elektrike dhe modaliteteve të transportit të qëndrueshëm në vend të makinave me gazra të ndotjes.</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7.3. Organizimi i fushatave të ndërgjegjësimit dhe edukimit</w:t>
      </w:r>
      <w:r w:rsidRPr="00A07A78">
        <w:rPr>
          <w:rFonts w:ascii="Times New Roman" w:hAnsi="Times New Roman" w:cs="Times New Roman"/>
          <w:sz w:val="24"/>
          <w:szCs w:val="24"/>
          <w:lang w:val="sq-AL"/>
        </w:rPr>
        <w:t>: Organizimi i fushatave të ndërgjegjësimit dhe edukimit për publikun në lidhje me rëndësinë e mbrojtjes së mjedisit dhe përdorimit të burimeve të qëndrueshme, duke përfshirë programe të shkollave dhe aktivitete komunitare.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7.4. Inkurajimi i investimeve të qeverisjes lokale në projekte mjedisore</w:t>
      </w:r>
      <w:r w:rsidRPr="00A07A78">
        <w:rPr>
          <w:rFonts w:ascii="Times New Roman" w:hAnsi="Times New Roman" w:cs="Times New Roman"/>
          <w:sz w:val="24"/>
          <w:szCs w:val="24"/>
          <w:lang w:val="sq-AL"/>
        </w:rPr>
        <w:t>: Mbështetja e politikave dhe nismave qeveritare që inkurajojnë investime të qeverisë dhe të rinjve në projekte mjedisore, duke përfshirë grante dhe politika të tjera mbështetëse.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7.6. Përdorimi i teknologjisë për monitorimin dhe mbrojtjen e mjedisit</w:t>
      </w:r>
      <w:r w:rsidRPr="00A07A78">
        <w:rPr>
          <w:rFonts w:ascii="Times New Roman" w:hAnsi="Times New Roman" w:cs="Times New Roman"/>
          <w:sz w:val="24"/>
          <w:szCs w:val="24"/>
          <w:lang w:val="sq-AL"/>
        </w:rPr>
        <w:t>: Përdorimi i teknologjisë së informacionit dhe komunikimit për monitorimin dhe mbrojtjen e mjedisit, duke përfshirë aplikacione dixhitale për raportimin e ndotjes së mjedisit dhe platforma për mbledhjen e të dhënave mjedisore.</w:t>
      </w:r>
    </w:p>
    <w:p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Duke përqendruar përpjekjet në këto hapa specifike dhe aktivitete të përcaktuara, qeverisja lokale, bizneset, organizatat jo-qeveritare, klubet sportive, grupet joformale dhe individët mund të ndihmojnë në realizimin e këtyre objektivave.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p>
    <w:p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MONITORIMI DHE VLERËSIMI</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Monitorimi dhe vlerësimi janë dy procese kyçe në zbatimi</w:t>
      </w:r>
      <w:r>
        <w:rPr>
          <w:rFonts w:ascii="Times New Roman" w:hAnsi="Times New Roman" w:cs="Times New Roman"/>
          <w:sz w:val="24"/>
          <w:szCs w:val="24"/>
          <w:lang w:val="sq-AL"/>
        </w:rPr>
        <w:t>n e strategjisë për rininë në K</w:t>
      </w:r>
      <w:r w:rsidRPr="00A07A78">
        <w:rPr>
          <w:rFonts w:ascii="Times New Roman" w:hAnsi="Times New Roman" w:cs="Times New Roman"/>
          <w:sz w:val="24"/>
          <w:szCs w:val="24"/>
          <w:lang w:val="sq-AL"/>
        </w:rPr>
        <w:t>omunën e Drenasit. Për të siguruar suksesin dhe për të korrigjuar rrugëtimin sipas nevojave të aktualizuara, është e rëndësishme të monitorohen dhe vlerësohen aktivitetet dhe rezultatet në një mënyrë sistematike dhe objektive. Kjo përfshin përdorimin e indikatorëve të suksesit të përcaktuar më parë për të vlerësuar progresin dhe për të identifikuar sfidat dhe mundësitë për përmirësim.</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lastRenderedPageBreak/>
        <w:t>Përveç monitorimit të progresit, një plan i vlerësimit do të përcaktojë metodologjitë dhe mjetet për të matur ndikimin dhe përceptimin e strategjisë nga palët e interesit. Përmes këtyre proceseve, strategjia për rininë në komunën e Drenasit është përshtatur në mënyrë efektive për të përmbushur synimet dhe qëllimet e saj.</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Më poshtë po përmendim disa indikatorë të cilët janë matës të suksesit të strategjisë:</w:t>
      </w:r>
    </w:p>
    <w:p w:rsidR="000700CC" w:rsidRPr="00A07A78" w:rsidRDefault="000700CC" w:rsidP="000700CC">
      <w:pPr>
        <w:pStyle w:val="ListParagraph"/>
        <w:numPr>
          <w:ilvl w:val="0"/>
          <w:numId w:val="5"/>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Ritmi i rritjes së pjesëmarrjes së të rinjve në aktivitete rinore</w:t>
      </w:r>
    </w:p>
    <w:p w:rsidR="000700CC" w:rsidRPr="00A07A78" w:rsidRDefault="000700CC" w:rsidP="000700CC">
      <w:pPr>
        <w:pStyle w:val="ListParagraph"/>
        <w:numPr>
          <w:ilvl w:val="0"/>
          <w:numId w:val="5"/>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Hapësira dhe përfshirja e të rinjve në proceset vendimmarrëse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b/>
          <w:bCs/>
          <w:sz w:val="24"/>
          <w:szCs w:val="24"/>
          <w:lang w:val="sq-AL"/>
        </w:rPr>
        <w:t>Plani i vlerësimit:</w:t>
      </w:r>
      <w:r w:rsidRPr="00A07A78">
        <w:rPr>
          <w:rFonts w:ascii="Times New Roman" w:hAnsi="Times New Roman" w:cs="Times New Roman"/>
          <w:sz w:val="24"/>
          <w:szCs w:val="24"/>
          <w:lang w:val="sq-AL"/>
        </w:rPr>
        <w:t xml:space="preserve"> Zhvillimi i një plani për vlerësimin periodik të zbatimit të strategjisë dhe arritjes së objektivave. Bartësi, zbatuesi dhe implementuesi dhe mbikëqyrësi kryesor i kësaj strategjie do të jetë Komuna e Drenasit, përkatësisht Drejtoria për Kulturë, Rini dhe Sport.</w:t>
      </w:r>
    </w:p>
    <w:p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MIRATIMI DHE ZBATIMI</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Miratimi dhe zbatimi i strategjisë për rininë janë hapat kyç për të siguruar që synimet dhe objektivat e planifikuara të realizohen. Këta hapa do të konkretizohen përmes këtyre fazave:</w:t>
      </w:r>
    </w:p>
    <w:p w:rsidR="000700CC" w:rsidRDefault="000700CC" w:rsidP="000700CC">
      <w:pPr>
        <w:pStyle w:val="ListParagraph"/>
        <w:numPr>
          <w:ilvl w:val="0"/>
          <w:numId w:val="6"/>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Përgatitja e dokumentit final të strategjisë;</w:t>
      </w:r>
    </w:p>
    <w:p w:rsidR="000700CC" w:rsidRPr="00A07A78" w:rsidRDefault="000700CC" w:rsidP="000700CC">
      <w:pPr>
        <w:pStyle w:val="ListParagraph"/>
        <w:numPr>
          <w:ilvl w:val="0"/>
          <w:numId w:val="6"/>
        </w:numPr>
        <w:tabs>
          <w:tab w:val="left" w:pos="3706"/>
        </w:tabs>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Prezantimi në debat publik dhe marrja e komenteve/sugjerimeve gjatë konsultimit publik;</w:t>
      </w:r>
    </w:p>
    <w:p w:rsidR="000700CC" w:rsidRPr="00A07A78" w:rsidRDefault="000700CC" w:rsidP="000700CC">
      <w:pPr>
        <w:pStyle w:val="ListParagraph"/>
        <w:numPr>
          <w:ilvl w:val="0"/>
          <w:numId w:val="6"/>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Prezantimi para Komitetit për Politikë dhe Financa;</w:t>
      </w:r>
    </w:p>
    <w:p w:rsidR="000700CC" w:rsidRPr="00A07A78" w:rsidRDefault="000700CC" w:rsidP="000700CC">
      <w:pPr>
        <w:pStyle w:val="ListParagraph"/>
        <w:numPr>
          <w:ilvl w:val="0"/>
          <w:numId w:val="6"/>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Prezantimi para Kuvendit të Komunës;</w:t>
      </w:r>
    </w:p>
    <w:p w:rsidR="000700CC" w:rsidRPr="00A07A78" w:rsidRDefault="000700CC" w:rsidP="000700CC">
      <w:pPr>
        <w:pStyle w:val="ListParagraph"/>
        <w:numPr>
          <w:ilvl w:val="0"/>
          <w:numId w:val="6"/>
        </w:num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Miratimi nga Kuvendi i Komunës së Drenasit</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Kjo qasje e strukturuar dhe e qartë siguron jo vetëm miratimin dhe fillimin e zbatimit të strategjisë për rininë, por edhe përfshirjen e gjerë dhe monitorimin efektiv për të garantuar arritjen e objektivave të saj. Miratimi i strategjisë do të bëhet nga autoritetet përkatëse të komunës. Nd</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rmarrja e veprimeve p</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 xml:space="preserve">r zbatimin e strategjisë do të bëhet duke u bazuar në planin e veprimit </w:t>
      </w:r>
      <w:r>
        <w:rPr>
          <w:rFonts w:ascii="Times New Roman" w:hAnsi="Times New Roman" w:cs="Times New Roman"/>
          <w:sz w:val="24"/>
          <w:szCs w:val="24"/>
          <w:lang w:val="sq-AL"/>
        </w:rPr>
        <w:t xml:space="preserve">i cili është në përputhje me </w:t>
      </w:r>
      <w:r w:rsidRPr="00A07A78">
        <w:rPr>
          <w:rFonts w:ascii="Times New Roman" w:hAnsi="Times New Roman" w:cs="Times New Roman"/>
          <w:sz w:val="24"/>
          <w:szCs w:val="24"/>
          <w:lang w:val="sq-AL"/>
        </w:rPr>
        <w:t>qëllimin dhe objektivat e Strategjisë, dhe duke siguruar pjesëmarrjen e gjerë.</w:t>
      </w:r>
    </w:p>
    <w:p w:rsidR="000700CC" w:rsidRPr="00A07A78" w:rsidRDefault="000700CC" w:rsidP="000700CC">
      <w:pPr>
        <w:pStyle w:val="ListParagraph"/>
        <w:numPr>
          <w:ilvl w:val="0"/>
          <w:numId w:val="7"/>
        </w:numPr>
        <w:tabs>
          <w:tab w:val="left" w:pos="3706"/>
        </w:tabs>
        <w:spacing w:line="360" w:lineRule="auto"/>
        <w:jc w:val="both"/>
        <w:rPr>
          <w:rFonts w:ascii="Times New Roman" w:hAnsi="Times New Roman" w:cs="Times New Roman"/>
          <w:b/>
          <w:bCs/>
          <w:sz w:val="24"/>
          <w:szCs w:val="24"/>
          <w:lang w:val="sq-AL"/>
        </w:rPr>
      </w:pPr>
      <w:r w:rsidRPr="00A07A78">
        <w:rPr>
          <w:rFonts w:ascii="Times New Roman" w:hAnsi="Times New Roman" w:cs="Times New Roman"/>
          <w:b/>
          <w:bCs/>
          <w:sz w:val="24"/>
          <w:szCs w:val="24"/>
          <w:lang w:val="sq-AL"/>
        </w:rPr>
        <w:t>KOMUNIKIMI DHE ANGAZHIMI I VAZHDUESHËM</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Komunikimi dhe angazhimi i vazhdueshëm janë thelbësore për suksesin e strategjisë që synon të përfshijë dhe të mbështesë t</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 xml:space="preserve"> rinjt</w:t>
      </w:r>
      <w:r>
        <w:rPr>
          <w:rFonts w:ascii="Times New Roman" w:hAnsi="Times New Roman" w:cs="Times New Roman"/>
          <w:sz w:val="24"/>
          <w:szCs w:val="24"/>
          <w:lang w:val="sq-AL"/>
        </w:rPr>
        <w:t>ë</w:t>
      </w:r>
      <w:r w:rsidRPr="00A07A78">
        <w:rPr>
          <w:rFonts w:ascii="Times New Roman" w:hAnsi="Times New Roman" w:cs="Times New Roman"/>
          <w:sz w:val="24"/>
          <w:szCs w:val="24"/>
          <w:lang w:val="sq-AL"/>
        </w:rPr>
        <w:t xml:space="preserve"> në komunën e Drenasit. Për këtë qëllim, kemi planifikuar që të zhvillohet dhe zbatohet një plan komunikimi që përfshin përdorimin e platformave dhe kanaleve </w:t>
      </w:r>
      <w:r w:rsidRPr="00A07A78">
        <w:rPr>
          <w:rFonts w:ascii="Times New Roman" w:hAnsi="Times New Roman" w:cs="Times New Roman"/>
          <w:sz w:val="24"/>
          <w:szCs w:val="24"/>
          <w:lang w:val="sq-AL"/>
        </w:rPr>
        <w:lastRenderedPageBreak/>
        <w:t>të ndryshme mediale, si rrjetet sociale, uebfaqet zyrtare dhe media e tjera, për t’i mbajtur të informuar të rinjtë dhe palët e interesit rreth progresit, arritjeve dhe mundësive për pjesëmarrje.</w:t>
      </w:r>
    </w:p>
    <w:p w:rsidR="000700CC" w:rsidRPr="00A07A78"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 xml:space="preserve">Për të nxitur angazhimin e vazhdueshëm, strategjia gjithashtu do të përfshijë zhvillimin e programeve dhe aktiviteteve që mundësojnë pjesëmarrjen aktive të të rinjve në vendimmarrje dhe në zbatimin e projekteve. Kjo do të arrihet përmes organizimit të punëtorive, takimeve konsultative dhe platformave interaktive online ku të rinjtë mund të shprehin idetë dhe sugjerimet e tyre. </w:t>
      </w:r>
    </w:p>
    <w:p w:rsidR="000700CC" w:rsidRDefault="000700CC" w:rsidP="000700CC">
      <w:pPr>
        <w:tabs>
          <w:tab w:val="left" w:pos="3706"/>
        </w:tabs>
        <w:spacing w:line="360" w:lineRule="auto"/>
        <w:jc w:val="both"/>
        <w:rPr>
          <w:rFonts w:ascii="Times New Roman" w:hAnsi="Times New Roman" w:cs="Times New Roman"/>
          <w:sz w:val="24"/>
          <w:szCs w:val="24"/>
          <w:lang w:val="sq-AL"/>
        </w:rPr>
      </w:pPr>
      <w:r w:rsidRPr="00A07A78">
        <w:rPr>
          <w:rFonts w:ascii="Times New Roman" w:hAnsi="Times New Roman" w:cs="Times New Roman"/>
          <w:sz w:val="24"/>
          <w:szCs w:val="24"/>
          <w:lang w:val="sq-AL"/>
        </w:rPr>
        <w:t>Rëndësia e kësaj përfshirjeje qëndron në krijimin e një ndjenje pronësie dhe përfshirjeje për të rinjtë, e cila është jetike për realizimin e qëllimeve të strategjisë dhe për të ndërtuar një komunitet më</w:t>
      </w:r>
      <w:r>
        <w:rPr>
          <w:rFonts w:ascii="Times New Roman" w:hAnsi="Times New Roman" w:cs="Times New Roman"/>
          <w:sz w:val="24"/>
          <w:szCs w:val="24"/>
          <w:lang w:val="sq-AL"/>
        </w:rPr>
        <w:t xml:space="preserve"> të përfshirë dhe të angazhuar.</w:t>
      </w:r>
    </w:p>
    <w:p w:rsidR="000700CC" w:rsidRDefault="000700CC" w:rsidP="000700CC">
      <w:pPr>
        <w:tabs>
          <w:tab w:val="left" w:pos="3706"/>
        </w:tabs>
        <w:spacing w:line="360" w:lineRule="auto"/>
        <w:jc w:val="both"/>
        <w:rPr>
          <w:rFonts w:ascii="Times New Roman" w:hAnsi="Times New Roman" w:cs="Times New Roman"/>
          <w:sz w:val="24"/>
          <w:szCs w:val="24"/>
          <w:lang w:val="sq-AL"/>
        </w:rPr>
      </w:pPr>
    </w:p>
    <w:p w:rsidR="000700CC" w:rsidRPr="00287545" w:rsidRDefault="000700CC" w:rsidP="000700CC">
      <w:pPr>
        <w:tabs>
          <w:tab w:val="left" w:pos="3706"/>
        </w:tabs>
        <w:spacing w:line="360" w:lineRule="auto"/>
        <w:jc w:val="both"/>
        <w:rPr>
          <w:rFonts w:ascii="Times New Roman" w:hAnsi="Times New Roman" w:cs="Times New Roman"/>
          <w:b/>
          <w:sz w:val="24"/>
          <w:szCs w:val="24"/>
          <w:lang w:val="sq-AL"/>
        </w:rPr>
      </w:pPr>
      <w:r w:rsidRPr="00287545">
        <w:rPr>
          <w:rFonts w:ascii="Times New Roman" w:hAnsi="Times New Roman" w:cs="Times New Roman"/>
          <w:b/>
          <w:sz w:val="24"/>
          <w:szCs w:val="24"/>
          <w:lang w:val="sq-AL"/>
        </w:rPr>
        <w:t>SHTOJC</w:t>
      </w:r>
      <w:r>
        <w:rPr>
          <w:rFonts w:ascii="Times New Roman" w:hAnsi="Times New Roman" w:cs="Times New Roman"/>
          <w:b/>
          <w:sz w:val="24"/>
          <w:szCs w:val="24"/>
          <w:lang w:val="sq-AL"/>
        </w:rPr>
        <w:t>Ë</w:t>
      </w:r>
      <w:r w:rsidRPr="00287545">
        <w:rPr>
          <w:rFonts w:ascii="Times New Roman" w:hAnsi="Times New Roman" w:cs="Times New Roman"/>
          <w:b/>
          <w:sz w:val="24"/>
          <w:szCs w:val="24"/>
          <w:lang w:val="sq-AL"/>
        </w:rPr>
        <w:t>: PLANI I VEPRIMIT</w:t>
      </w:r>
    </w:p>
    <w:p w:rsidR="000700CC" w:rsidRPr="0005161F" w:rsidRDefault="000700CC" w:rsidP="000700CC">
      <w:pPr>
        <w:spacing w:after="0" w:line="360" w:lineRule="auto"/>
        <w:jc w:val="both"/>
        <w:rPr>
          <w:rFonts w:ascii="Times New Roman" w:hAnsi="Times New Roman" w:cs="Times New Roman"/>
          <w:b/>
          <w:sz w:val="24"/>
          <w:szCs w:val="24"/>
          <w:lang w:val="sq-AL"/>
        </w:rPr>
      </w:pPr>
      <w:r>
        <w:rPr>
          <w:rFonts w:ascii="Times New Roman" w:hAnsi="Times New Roman" w:cs="Times New Roman"/>
          <w:sz w:val="24"/>
          <w:szCs w:val="24"/>
          <w:lang w:val="sq-AL"/>
        </w:rPr>
        <w:t>Bashkangjitur me Strategjinë, gjeni</w:t>
      </w:r>
      <w:r w:rsidRPr="00287545">
        <w:rPr>
          <w:rFonts w:ascii="Times New Roman" w:hAnsi="Times New Roman" w:cs="Times New Roman"/>
          <w:sz w:val="24"/>
          <w:szCs w:val="24"/>
          <w:lang w:val="sq-AL"/>
        </w:rPr>
        <w:t xml:space="preserve"> Planin e Veprimit për realizim të objektivave të Strategjisë dhe arritjen e përmirësimit të politikave të sektorit të </w:t>
      </w:r>
      <w:r>
        <w:rPr>
          <w:rFonts w:ascii="Times New Roman" w:hAnsi="Times New Roman" w:cs="Times New Roman"/>
          <w:sz w:val="24"/>
          <w:szCs w:val="24"/>
          <w:lang w:val="sq-AL"/>
        </w:rPr>
        <w:t xml:space="preserve">rinisë për të rinjtë e Drenasit duke u bazuar në buxhetin e DKRS-së, i cili është paraparë të mbështetet edhe me donatorë apo institucione të tjera që ofrojnë mbështetje për sektorin e rinisë. Në planin e veprimit janë përfshirë objektivat e strategjisë, aktivitetet për secilin objektiv, institucioni përgjegjës për implementim dhe monitorim, institucionet partnere, afati kohor dhe kosto financiare që total është 395,250.00 </w:t>
      </w:r>
      <w:r w:rsidRPr="0005161F">
        <w:rPr>
          <w:rFonts w:ascii="Calibri" w:hAnsi="Calibri" w:cs="Calibri"/>
          <w:color w:val="000000"/>
          <w:sz w:val="24"/>
          <w:szCs w:val="24"/>
        </w:rPr>
        <w:t>€</w:t>
      </w:r>
      <w:r>
        <w:rPr>
          <w:rFonts w:ascii="Calibri" w:hAnsi="Calibri" w:cs="Calibri"/>
          <w:color w:val="000000"/>
          <w:sz w:val="24"/>
          <w:szCs w:val="24"/>
        </w:rPr>
        <w:t>.</w:t>
      </w:r>
    </w:p>
    <w:p w:rsidR="000700CC" w:rsidRDefault="000700CC" w:rsidP="000700CC">
      <w:pPr>
        <w:tabs>
          <w:tab w:val="left" w:pos="3706"/>
        </w:tabs>
        <w:spacing w:line="360" w:lineRule="auto"/>
        <w:jc w:val="both"/>
        <w:rPr>
          <w:rFonts w:ascii="Times New Roman" w:hAnsi="Times New Roman" w:cs="Times New Roman"/>
          <w:sz w:val="24"/>
          <w:szCs w:val="24"/>
          <w:lang w:val="sq-AL"/>
        </w:rPr>
      </w:pPr>
    </w:p>
    <w:p w:rsidR="000700CC" w:rsidRDefault="000700CC" w:rsidP="000700CC">
      <w:pPr>
        <w:tabs>
          <w:tab w:val="left" w:pos="3706"/>
        </w:tabs>
        <w:spacing w:line="360" w:lineRule="auto"/>
        <w:jc w:val="both"/>
        <w:rPr>
          <w:rFonts w:ascii="Times New Roman" w:hAnsi="Times New Roman" w:cs="Times New Roman"/>
          <w:sz w:val="24"/>
          <w:szCs w:val="24"/>
          <w:lang w:val="sq-AL"/>
        </w:rPr>
      </w:pPr>
    </w:p>
    <w:p w:rsidR="000700CC" w:rsidRDefault="000700CC" w:rsidP="000700CC">
      <w:pPr>
        <w:tabs>
          <w:tab w:val="left" w:pos="3706"/>
        </w:tabs>
        <w:spacing w:line="360" w:lineRule="auto"/>
        <w:jc w:val="both"/>
        <w:rPr>
          <w:rFonts w:ascii="Times New Roman" w:hAnsi="Times New Roman" w:cs="Times New Roman"/>
          <w:sz w:val="24"/>
          <w:szCs w:val="24"/>
          <w:lang w:val="sq-AL"/>
        </w:rPr>
      </w:pPr>
    </w:p>
    <w:tbl>
      <w:tblPr>
        <w:tblStyle w:val="GridTable1Light-Accent1"/>
        <w:tblpPr w:leftFromText="180" w:rightFromText="180" w:horzAnchor="margin" w:tblpX="-990" w:tblpY="-1440"/>
        <w:tblW w:w="11363" w:type="dxa"/>
        <w:tblLayout w:type="fixed"/>
        <w:tblLook w:val="04A0" w:firstRow="1" w:lastRow="0" w:firstColumn="1" w:lastColumn="0" w:noHBand="0" w:noVBand="1"/>
      </w:tblPr>
      <w:tblGrid>
        <w:gridCol w:w="1754"/>
        <w:gridCol w:w="1940"/>
        <w:gridCol w:w="1791"/>
        <w:gridCol w:w="1312"/>
        <w:gridCol w:w="931"/>
        <w:gridCol w:w="931"/>
        <w:gridCol w:w="1013"/>
        <w:gridCol w:w="14"/>
        <w:gridCol w:w="1677"/>
      </w:tblGrid>
      <w:tr w:rsidR="000700CC" w:rsidRPr="007727A4" w:rsidTr="00C66284">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754" w:type="dxa"/>
            <w:vMerge w:val="restart"/>
          </w:tcPr>
          <w:p w:rsidR="000700CC" w:rsidRPr="000D35BA" w:rsidRDefault="000700CC" w:rsidP="00C66284">
            <w:pPr>
              <w:jc w:val="center"/>
              <w:rPr>
                <w:bCs w:val="0"/>
                <w:sz w:val="24"/>
                <w:szCs w:val="24"/>
              </w:rPr>
            </w:pPr>
            <w:r w:rsidRPr="000D35BA">
              <w:rPr>
                <w:bCs w:val="0"/>
                <w:sz w:val="24"/>
                <w:szCs w:val="24"/>
              </w:rPr>
              <w:lastRenderedPageBreak/>
              <w:t>Objektivat</w:t>
            </w:r>
            <w:r>
              <w:rPr>
                <w:bCs w:val="0"/>
                <w:sz w:val="24"/>
                <w:szCs w:val="24"/>
              </w:rPr>
              <w:t>:</w:t>
            </w:r>
            <w:r w:rsidRPr="000D35BA">
              <w:rPr>
                <w:bCs w:val="0"/>
                <w:sz w:val="24"/>
                <w:szCs w:val="24"/>
              </w:rPr>
              <w:t xml:space="preserve"> </w:t>
            </w:r>
          </w:p>
        </w:tc>
        <w:tc>
          <w:tcPr>
            <w:tcW w:w="1940" w:type="dxa"/>
            <w:vMerge w:val="restart"/>
          </w:tcPr>
          <w:p w:rsidR="000700CC" w:rsidRPr="003313FE" w:rsidRDefault="000700CC" w:rsidP="00C662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313FE">
              <w:rPr>
                <w:rFonts w:ascii="Times New Roman" w:hAnsi="Times New Roman" w:cs="Times New Roman"/>
                <w:sz w:val="24"/>
                <w:szCs w:val="24"/>
              </w:rPr>
              <w:t>Aktivitetet:</w:t>
            </w:r>
          </w:p>
        </w:tc>
        <w:tc>
          <w:tcPr>
            <w:tcW w:w="1791" w:type="dxa"/>
            <w:vMerge w:val="restart"/>
          </w:tcPr>
          <w:p w:rsidR="000700CC" w:rsidRPr="003313FE" w:rsidRDefault="000700CC" w:rsidP="00C662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313FE">
              <w:rPr>
                <w:rFonts w:ascii="Times New Roman" w:hAnsi="Times New Roman" w:cs="Times New Roman"/>
                <w:sz w:val="24"/>
                <w:szCs w:val="24"/>
              </w:rPr>
              <w:t>Institucioni përgjegjës</w:t>
            </w:r>
          </w:p>
        </w:tc>
        <w:tc>
          <w:tcPr>
            <w:tcW w:w="1312" w:type="dxa"/>
            <w:vMerge w:val="restart"/>
          </w:tcPr>
          <w:p w:rsidR="000700CC" w:rsidRPr="003313FE" w:rsidRDefault="000700CC" w:rsidP="00C662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313FE">
              <w:rPr>
                <w:rFonts w:ascii="Times New Roman" w:hAnsi="Times New Roman" w:cs="Times New Roman"/>
                <w:sz w:val="24"/>
                <w:szCs w:val="24"/>
              </w:rPr>
              <w:t>Institucionet partnere</w:t>
            </w:r>
          </w:p>
        </w:tc>
        <w:tc>
          <w:tcPr>
            <w:tcW w:w="2889" w:type="dxa"/>
            <w:gridSpan w:val="4"/>
          </w:tcPr>
          <w:p w:rsidR="000700CC" w:rsidRPr="003313FE" w:rsidRDefault="000700CC" w:rsidP="00C662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3313FE">
              <w:rPr>
                <w:rFonts w:ascii="Times New Roman" w:hAnsi="Times New Roman" w:cs="Times New Roman"/>
                <w:bCs w:val="0"/>
                <w:sz w:val="24"/>
                <w:szCs w:val="24"/>
              </w:rPr>
              <w:t>Afati kohor</w:t>
            </w:r>
          </w:p>
        </w:tc>
        <w:tc>
          <w:tcPr>
            <w:tcW w:w="1677" w:type="dxa"/>
          </w:tcPr>
          <w:p w:rsidR="000700CC" w:rsidRPr="003313FE" w:rsidRDefault="000700CC" w:rsidP="00C662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313FE">
              <w:rPr>
                <w:rFonts w:ascii="Times New Roman" w:hAnsi="Times New Roman" w:cs="Times New Roman"/>
                <w:sz w:val="24"/>
                <w:szCs w:val="24"/>
              </w:rPr>
              <w:t>Buxheti</w:t>
            </w:r>
          </w:p>
        </w:tc>
      </w:tr>
      <w:tr w:rsidR="000700CC" w:rsidRPr="007727A4" w:rsidTr="00C66284">
        <w:trPr>
          <w:trHeight w:val="534"/>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Pr="00D06B1B" w:rsidRDefault="000700CC" w:rsidP="00C66284">
            <w:pPr>
              <w:jc w:val="center"/>
              <w:rPr>
                <w:b w:val="0"/>
                <w:bCs w:val="0"/>
                <w:sz w:val="24"/>
                <w:szCs w:val="24"/>
              </w:rPr>
            </w:pPr>
          </w:p>
        </w:tc>
        <w:tc>
          <w:tcPr>
            <w:tcW w:w="1940" w:type="dxa"/>
            <w:vMerge/>
          </w:tcPr>
          <w:p w:rsidR="000700CC" w:rsidRPr="003313FE" w:rsidRDefault="000700CC" w:rsidP="00C662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791" w:type="dxa"/>
            <w:vMerge/>
          </w:tcPr>
          <w:p w:rsidR="000700CC" w:rsidRPr="003313FE" w:rsidRDefault="000700CC" w:rsidP="00C662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312" w:type="dxa"/>
            <w:vMerge/>
          </w:tcPr>
          <w:p w:rsidR="000700CC" w:rsidRPr="003313FE" w:rsidRDefault="000700CC" w:rsidP="00C662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931" w:type="dxa"/>
          </w:tcPr>
          <w:p w:rsidR="000700CC" w:rsidRPr="003313FE" w:rsidRDefault="000700CC" w:rsidP="00C662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313FE">
              <w:rPr>
                <w:rFonts w:ascii="Times New Roman" w:hAnsi="Times New Roman" w:cs="Times New Roman"/>
                <w:b/>
                <w:bCs/>
                <w:sz w:val="24"/>
                <w:szCs w:val="24"/>
              </w:rPr>
              <w:t>2024</w:t>
            </w:r>
          </w:p>
        </w:tc>
        <w:tc>
          <w:tcPr>
            <w:tcW w:w="931" w:type="dxa"/>
          </w:tcPr>
          <w:p w:rsidR="000700CC" w:rsidRPr="003313FE" w:rsidRDefault="000700CC" w:rsidP="00C662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313FE">
              <w:rPr>
                <w:rFonts w:ascii="Times New Roman" w:hAnsi="Times New Roman" w:cs="Times New Roman"/>
                <w:b/>
                <w:bCs/>
                <w:sz w:val="24"/>
                <w:szCs w:val="24"/>
              </w:rPr>
              <w:t>2025</w:t>
            </w:r>
          </w:p>
        </w:tc>
        <w:tc>
          <w:tcPr>
            <w:tcW w:w="1027" w:type="dxa"/>
            <w:gridSpan w:val="2"/>
          </w:tcPr>
          <w:p w:rsidR="000700CC" w:rsidRPr="003313FE" w:rsidRDefault="000700CC" w:rsidP="00C662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313FE">
              <w:rPr>
                <w:rFonts w:ascii="Times New Roman" w:hAnsi="Times New Roman" w:cs="Times New Roman"/>
                <w:b/>
                <w:bCs/>
                <w:sz w:val="24"/>
                <w:szCs w:val="24"/>
              </w:rPr>
              <w:t>2026</w:t>
            </w:r>
          </w:p>
        </w:tc>
        <w:tc>
          <w:tcPr>
            <w:tcW w:w="1677" w:type="dxa"/>
          </w:tcPr>
          <w:p w:rsidR="000700CC" w:rsidRPr="003313FE" w:rsidRDefault="000700CC" w:rsidP="00C662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313FE">
              <w:rPr>
                <w:rFonts w:ascii="Times New Roman" w:hAnsi="Times New Roman" w:cs="Times New Roman"/>
                <w:b/>
                <w:bCs/>
                <w:sz w:val="24"/>
                <w:szCs w:val="24"/>
              </w:rPr>
              <w:t xml:space="preserve">Totali </w:t>
            </w:r>
          </w:p>
        </w:tc>
      </w:tr>
      <w:tr w:rsidR="000700CC" w:rsidRPr="007727A4" w:rsidTr="00C66284">
        <w:trPr>
          <w:trHeight w:val="578"/>
        </w:trPr>
        <w:tc>
          <w:tcPr>
            <w:cnfStyle w:val="001000000000" w:firstRow="0" w:lastRow="0" w:firstColumn="1" w:lastColumn="0" w:oddVBand="0" w:evenVBand="0" w:oddHBand="0" w:evenHBand="0" w:firstRowFirstColumn="0" w:firstRowLastColumn="0" w:lastRowFirstColumn="0" w:lastRowLastColumn="0"/>
            <w:tcW w:w="1754" w:type="dxa"/>
            <w:vMerge w:val="restart"/>
          </w:tcPr>
          <w:p w:rsidR="000700CC" w:rsidRDefault="000700CC" w:rsidP="00C66284">
            <w:pPr>
              <w:rPr>
                <w:rFonts w:ascii="Times New Roman" w:hAnsi="Times New Roman" w:cs="Times New Roman"/>
                <w:b w:val="0"/>
                <w:sz w:val="24"/>
                <w:szCs w:val="24"/>
              </w:rPr>
            </w:pPr>
          </w:p>
          <w:p w:rsidR="000700CC" w:rsidRDefault="000700CC" w:rsidP="00C66284">
            <w:pPr>
              <w:rPr>
                <w:rFonts w:ascii="Times New Roman" w:hAnsi="Times New Roman" w:cs="Times New Roman"/>
                <w:b w:val="0"/>
                <w:sz w:val="24"/>
                <w:szCs w:val="24"/>
              </w:rPr>
            </w:pPr>
          </w:p>
          <w:p w:rsidR="000700CC" w:rsidRDefault="000700CC" w:rsidP="00C66284">
            <w:pPr>
              <w:rPr>
                <w:rFonts w:ascii="Times New Roman" w:hAnsi="Times New Roman" w:cs="Times New Roman"/>
                <w:b w:val="0"/>
                <w:sz w:val="24"/>
                <w:szCs w:val="24"/>
              </w:rPr>
            </w:pPr>
          </w:p>
          <w:p w:rsidR="000700CC" w:rsidRDefault="000700CC" w:rsidP="00C66284">
            <w:pPr>
              <w:rPr>
                <w:rFonts w:ascii="Times New Roman" w:hAnsi="Times New Roman" w:cs="Times New Roman"/>
                <w:b w:val="0"/>
                <w:sz w:val="24"/>
                <w:szCs w:val="24"/>
              </w:rPr>
            </w:pPr>
          </w:p>
          <w:p w:rsidR="000700CC" w:rsidRPr="003313FE" w:rsidRDefault="000700CC" w:rsidP="00C66284">
            <w:pPr>
              <w:rPr>
                <w:bCs w:val="0"/>
              </w:rPr>
            </w:pPr>
            <w:r>
              <w:rPr>
                <w:rFonts w:ascii="Times New Roman" w:hAnsi="Times New Roman" w:cs="Times New Roman"/>
                <w:sz w:val="24"/>
                <w:szCs w:val="24"/>
              </w:rPr>
              <w:t xml:space="preserve">1. </w:t>
            </w:r>
            <w:r w:rsidRPr="003313FE">
              <w:rPr>
                <w:rFonts w:ascii="Times New Roman" w:hAnsi="Times New Roman" w:cs="Times New Roman"/>
                <w:sz w:val="24"/>
                <w:szCs w:val="24"/>
              </w:rPr>
              <w:t>Përgatitja e të rinjve për tregun e punës dhe ndihma në zhvillimin e tyre në profesione të ndryshme</w:t>
            </w: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3313FE">
              <w:rPr>
                <w:rFonts w:ascii="Times New Roman" w:hAnsi="Times New Roman" w:cs="Times New Roman"/>
                <w:bCs/>
                <w:i/>
                <w:sz w:val="24"/>
                <w:szCs w:val="24"/>
              </w:rPr>
              <w:t>1.1 Krijimi i programeve të trajnimit dhe edukimit</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 xml:space="preserve">DKRS/ Drejtoria për Arsim/OJQ-ja përfituese </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MKRS</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300 €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300 €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300 €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900 €</w:t>
            </w:r>
          </w:p>
        </w:tc>
      </w:tr>
      <w:tr w:rsidR="000700CC" w:rsidRPr="007727A4" w:rsidTr="00C66284">
        <w:trPr>
          <w:trHeight w:val="578"/>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Default="000700CC" w:rsidP="00C66284">
            <w:pPr>
              <w:rPr>
                <w:rFonts w:ascii="Times New Roman" w:hAnsi="Times New Roman" w:cs="Times New Roman"/>
                <w:b w:val="0"/>
                <w:sz w:val="24"/>
                <w:szCs w:val="24"/>
              </w:rPr>
            </w:pPr>
          </w:p>
        </w:tc>
        <w:tc>
          <w:tcPr>
            <w:tcW w:w="1940" w:type="dxa"/>
          </w:tcPr>
          <w:p w:rsidR="000700CC" w:rsidRPr="0008065A"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08065A">
              <w:rPr>
                <w:rFonts w:ascii="Times New Roman" w:hAnsi="Times New Roman" w:cs="Times New Roman"/>
                <w:i/>
                <w:sz w:val="24"/>
                <w:szCs w:val="24"/>
              </w:rPr>
              <w:t>1.2 Ofrimi i mundësive të praktikës dhe punësimit:</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DKRS/DKA/Drejtoria për Zhvillim Ekonomik/OJQ</w:t>
            </w:r>
            <w:r w:rsidRPr="003313FE">
              <w:rPr>
                <w:rFonts w:ascii="Times New Roman" w:hAnsi="Times New Roman" w:cs="Times New Roman"/>
                <w:color w:val="000000" w:themeColor="text1"/>
                <w:sz w:val="24"/>
                <w:szCs w:val="24"/>
              </w:rPr>
              <w:t xml:space="preserve">/Zyra e Punësimit </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Donatore</w:t>
            </w:r>
            <w:r w:rsidRPr="003313FE">
              <w:rPr>
                <w:rFonts w:ascii="Times New Roman" w:hAnsi="Times New Roman" w:cs="Times New Roman"/>
                <w:sz w:val="24"/>
                <w:szCs w:val="24"/>
              </w:rPr>
              <w:t>t; UNDP, GIZI, Ministritë Relevante</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1,500.00€</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Pr="00610730" w:rsidRDefault="000700CC" w:rsidP="00C66284">
            <w:pPr>
              <w:rPr>
                <w:b w:val="0"/>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3313FE">
              <w:rPr>
                <w:rFonts w:ascii="Times New Roman" w:hAnsi="Times New Roman" w:cs="Times New Roman"/>
                <w:bCs/>
                <w:i/>
                <w:sz w:val="24"/>
                <w:szCs w:val="24"/>
              </w:rPr>
              <w:t>1.3 Mentorimi dhe këshillimi individual</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 xml:space="preserve">DKRS/Drejtoria për Arsim/OJQ-ja përfituese </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OJQ-të rinore</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500 €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500 €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500 €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1,500.00 €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Pr="00610730" w:rsidRDefault="000700CC" w:rsidP="00C66284">
            <w:pPr>
              <w:rPr>
                <w:b w:val="0"/>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3313FE">
              <w:rPr>
                <w:rFonts w:ascii="Times New Roman" w:hAnsi="Times New Roman" w:cs="Times New Roman"/>
                <w:bCs/>
                <w:i/>
                <w:sz w:val="24"/>
                <w:szCs w:val="24"/>
              </w:rPr>
              <w:t>1.4 Organizimi i ngjarjeve dhe punëtorive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 xml:space="preserve">DKRS/Drejtoria për Arsim/OJQ-ja përfituese </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300 €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300 €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300 €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900 €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Pr="00610730" w:rsidRDefault="000700CC" w:rsidP="00C66284">
            <w:pPr>
              <w:rPr>
                <w:b w:val="0"/>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3313FE">
              <w:rPr>
                <w:rFonts w:ascii="Times New Roman" w:hAnsi="Times New Roman" w:cs="Times New Roman"/>
                <w:bCs/>
                <w:i/>
                <w:sz w:val="24"/>
                <w:szCs w:val="24"/>
              </w:rPr>
              <w:t>1.5 Zhvillimi i aftësive të buta</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 xml:space="preserve">DKRS/ Drejtoria për Arsim/OJQ-ja përfituese </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 xml:space="preserve">OJQ-ja përfituese, OJQ-të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600 €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600 €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600 €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1,800.00 €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Pr="00610730" w:rsidRDefault="000700CC" w:rsidP="00C66284">
            <w:pPr>
              <w:rPr>
                <w:b w:val="0"/>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3313FE">
              <w:rPr>
                <w:rFonts w:ascii="Times New Roman" w:hAnsi="Times New Roman" w:cs="Times New Roman"/>
                <w:bCs/>
                <w:i/>
                <w:sz w:val="24"/>
                <w:szCs w:val="24"/>
              </w:rPr>
              <w:t>1.6 Përgatitja për kërkimin e punës</w:t>
            </w:r>
            <w:r w:rsidRPr="003313FE">
              <w:rPr>
                <w:rFonts w:ascii="Times New Roman" w:hAnsi="Times New Roman" w:cs="Times New Roman"/>
                <w:i/>
                <w:sz w:val="24"/>
                <w:szCs w:val="24"/>
              </w:rPr>
              <w:t>:</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 xml:space="preserve">DKRS/Drejtoria për Arsim/OJQ-ja </w:t>
            </w:r>
            <w:r w:rsidRPr="003313FE">
              <w:rPr>
                <w:rFonts w:ascii="Times New Roman" w:hAnsi="Times New Roman" w:cs="Times New Roman"/>
                <w:color w:val="000000" w:themeColor="text1"/>
                <w:sz w:val="24"/>
                <w:szCs w:val="24"/>
              </w:rPr>
              <w:t>përfituese /Zyra e Punesimit</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 xml:space="preserve">OJQ-ja përfituese, OJQ-të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500 €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500 €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500 €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1,500.00 €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val="restart"/>
          </w:tcPr>
          <w:p w:rsidR="000700CC" w:rsidRPr="003313FE" w:rsidRDefault="000700CC" w:rsidP="00C66284">
            <w:pPr>
              <w:rPr>
                <w:rFonts w:ascii="Times New Roman" w:hAnsi="Times New Roman" w:cs="Times New Roman"/>
                <w:b w:val="0"/>
                <w:sz w:val="24"/>
                <w:szCs w:val="24"/>
              </w:rPr>
            </w:pPr>
            <w:r w:rsidRPr="003313FE">
              <w:rPr>
                <w:rFonts w:ascii="Times New Roman" w:hAnsi="Times New Roman" w:cs="Times New Roman"/>
                <w:b w:val="0"/>
                <w:sz w:val="24"/>
                <w:szCs w:val="24"/>
              </w:rPr>
              <w:br/>
            </w:r>
          </w:p>
          <w:p w:rsidR="000700CC" w:rsidRPr="003313FE" w:rsidRDefault="000700CC" w:rsidP="00C66284">
            <w:pPr>
              <w:rPr>
                <w:rFonts w:ascii="Times New Roman" w:hAnsi="Times New Roman" w:cs="Times New Roman"/>
                <w:b w:val="0"/>
                <w:sz w:val="24"/>
                <w:szCs w:val="24"/>
              </w:rPr>
            </w:pPr>
          </w:p>
          <w:p w:rsidR="000700CC" w:rsidRPr="003313FE" w:rsidRDefault="000700CC" w:rsidP="00C66284">
            <w:pPr>
              <w:rPr>
                <w:bCs w:val="0"/>
              </w:rPr>
            </w:pPr>
            <w:r w:rsidRPr="003313FE">
              <w:rPr>
                <w:rFonts w:ascii="Times New Roman" w:hAnsi="Times New Roman" w:cs="Times New Roman"/>
                <w:b w:val="0"/>
                <w:sz w:val="24"/>
                <w:szCs w:val="24"/>
              </w:rPr>
              <w:br/>
            </w:r>
            <w:r w:rsidRPr="003313FE">
              <w:rPr>
                <w:rFonts w:ascii="Times New Roman" w:hAnsi="Times New Roman" w:cs="Times New Roman"/>
                <w:b w:val="0"/>
                <w:sz w:val="24"/>
                <w:szCs w:val="24"/>
              </w:rPr>
              <w:br/>
            </w:r>
            <w:r>
              <w:rPr>
                <w:rFonts w:ascii="Times New Roman" w:hAnsi="Times New Roman" w:cs="Times New Roman"/>
                <w:sz w:val="24"/>
                <w:szCs w:val="24"/>
              </w:rPr>
              <w:t xml:space="preserve">2. </w:t>
            </w:r>
            <w:r w:rsidRPr="003313FE">
              <w:rPr>
                <w:rFonts w:ascii="Times New Roman" w:hAnsi="Times New Roman" w:cs="Times New Roman"/>
                <w:sz w:val="24"/>
                <w:szCs w:val="24"/>
              </w:rPr>
              <w:t>Përforcimi i pjesëmarrjes aktive të të rinjve në vendimmarrje dhe proceset lokale</w:t>
            </w: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3313FE">
              <w:rPr>
                <w:rFonts w:ascii="Times New Roman" w:hAnsi="Times New Roman" w:cs="Times New Roman"/>
                <w:bCs/>
                <w:i/>
                <w:sz w:val="24"/>
                <w:szCs w:val="24"/>
              </w:rPr>
              <w:t>2.2 Krijimi i platformave dhe forumeve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 xml:space="preserve">DKRS/OJQ-ja përfituese </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500 €</w:t>
            </w:r>
          </w:p>
        </w:tc>
        <w:tc>
          <w:tcPr>
            <w:tcW w:w="931" w:type="dxa"/>
          </w:tcPr>
          <w:p w:rsidR="000700CC" w:rsidRPr="003313FE" w:rsidRDefault="000700CC" w:rsidP="00C662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500 €</w:t>
            </w:r>
          </w:p>
        </w:tc>
        <w:tc>
          <w:tcPr>
            <w:tcW w:w="1027" w:type="dxa"/>
            <w:gridSpan w:val="2"/>
          </w:tcPr>
          <w:p w:rsidR="000700CC" w:rsidRPr="003313FE" w:rsidRDefault="000700CC" w:rsidP="00C662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500 €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1,500.00 €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Pr="003313FE" w:rsidRDefault="000700CC" w:rsidP="00C66284">
            <w:pPr>
              <w:rPr>
                <w:b w:val="0"/>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3313FE">
              <w:rPr>
                <w:rFonts w:ascii="Times New Roman" w:hAnsi="Times New Roman" w:cs="Times New Roman"/>
                <w:bCs/>
                <w:i/>
                <w:sz w:val="24"/>
                <w:szCs w:val="24"/>
              </w:rPr>
              <w:t>2.1 Inkurajimi i përfaqësimit të të rinjve në institucionet lokale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 xml:space="preserve">DKRS/OJQ-ja përfituese </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400 €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400 €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400€</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1,200.00 €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Default="000700CC" w:rsidP="00C66284"/>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3313FE">
              <w:rPr>
                <w:rFonts w:ascii="Times New Roman" w:hAnsi="Times New Roman" w:cs="Times New Roman"/>
                <w:bCs/>
                <w:i/>
                <w:sz w:val="24"/>
                <w:szCs w:val="24"/>
              </w:rPr>
              <w:t>2.2Ofrimi i trajnimeve dhe aftësive për angazhimin civil</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 xml:space="preserve">DKRS/OJQ-ja përfituese </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500 €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500 €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500 €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1,500.00 €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Default="000700CC" w:rsidP="00C66284"/>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3313FE">
              <w:rPr>
                <w:rFonts w:ascii="Times New Roman" w:hAnsi="Times New Roman" w:cs="Times New Roman"/>
                <w:bCs/>
                <w:i/>
                <w:sz w:val="24"/>
                <w:szCs w:val="24"/>
              </w:rPr>
              <w:t>2.3Bashkëpunimi me organizatat rinore dhe shoqërinë civile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DKRS/OJQ-ja përfituese</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500 €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500 €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500 €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1,500.00 €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Default="000700CC" w:rsidP="00C66284"/>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3313FE">
              <w:rPr>
                <w:rFonts w:ascii="Times New Roman" w:hAnsi="Times New Roman" w:cs="Times New Roman"/>
                <w:bCs/>
                <w:i/>
                <w:sz w:val="24"/>
                <w:szCs w:val="24"/>
              </w:rPr>
              <w:t>2.4 Përdorimi i teknologjisë dhe mediave sociale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 xml:space="preserve">DKRS/OJQ-ja përfituese/ </w:t>
            </w:r>
            <w:r w:rsidRPr="003313FE">
              <w:rPr>
                <w:rFonts w:ascii="Times New Roman" w:hAnsi="Times New Roman" w:cs="Times New Roman"/>
                <w:color w:val="000000" w:themeColor="text1"/>
                <w:sz w:val="24"/>
                <w:szCs w:val="24"/>
              </w:rPr>
              <w:t>Qendra e Inovacionit</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400 €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400 €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400 €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1,200.00€</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Default="000700CC" w:rsidP="00C66284"/>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2.5 Krijimi i politikave dhe strukturave që inkurajojnë pjesëmarrjen e të rinjve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200 €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200€</w:t>
            </w:r>
          </w:p>
        </w:tc>
        <w:tc>
          <w:tcPr>
            <w:tcW w:w="1027" w:type="dxa"/>
            <w:gridSpan w:val="2"/>
          </w:tcPr>
          <w:p w:rsidR="000700CC" w:rsidRPr="003313FE" w:rsidRDefault="000700CC" w:rsidP="00C662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200€</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600 €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val="restart"/>
          </w:tcPr>
          <w:p w:rsidR="000700CC" w:rsidRDefault="000700CC" w:rsidP="00C66284">
            <w:pPr>
              <w:rPr>
                <w:rFonts w:ascii="Times New Roman" w:hAnsi="Times New Roman" w:cs="Times New Roman"/>
                <w:b w:val="0"/>
                <w:sz w:val="24"/>
                <w:szCs w:val="24"/>
              </w:rPr>
            </w:pPr>
            <w:r>
              <w:rPr>
                <w:rFonts w:ascii="Times New Roman" w:hAnsi="Times New Roman" w:cs="Times New Roman"/>
                <w:b w:val="0"/>
                <w:sz w:val="24"/>
                <w:szCs w:val="24"/>
              </w:rPr>
              <w:br/>
            </w:r>
          </w:p>
          <w:p w:rsidR="000700CC" w:rsidRDefault="000700CC" w:rsidP="00C66284">
            <w:pPr>
              <w:rPr>
                <w:rFonts w:ascii="Times New Roman" w:hAnsi="Times New Roman" w:cs="Times New Roman"/>
                <w:b w:val="0"/>
                <w:sz w:val="24"/>
                <w:szCs w:val="24"/>
              </w:rPr>
            </w:pPr>
            <w:r>
              <w:rPr>
                <w:rFonts w:ascii="Times New Roman" w:hAnsi="Times New Roman" w:cs="Times New Roman"/>
                <w:b w:val="0"/>
                <w:sz w:val="24"/>
                <w:szCs w:val="24"/>
              </w:rPr>
              <w:br/>
            </w:r>
            <w:r>
              <w:rPr>
                <w:rFonts w:ascii="Times New Roman" w:hAnsi="Times New Roman" w:cs="Times New Roman"/>
                <w:b w:val="0"/>
                <w:sz w:val="24"/>
                <w:szCs w:val="24"/>
              </w:rPr>
              <w:br/>
            </w:r>
          </w:p>
          <w:p w:rsidR="000700CC" w:rsidRDefault="000700CC" w:rsidP="00C66284">
            <w:pPr>
              <w:rPr>
                <w:rFonts w:ascii="Times New Roman" w:hAnsi="Times New Roman" w:cs="Times New Roman"/>
                <w:b w:val="0"/>
                <w:sz w:val="24"/>
                <w:szCs w:val="24"/>
              </w:rPr>
            </w:pPr>
            <w:r>
              <w:rPr>
                <w:rFonts w:ascii="Times New Roman" w:hAnsi="Times New Roman" w:cs="Times New Roman"/>
                <w:b w:val="0"/>
                <w:sz w:val="24"/>
                <w:szCs w:val="24"/>
              </w:rPr>
              <w:br/>
            </w:r>
          </w:p>
          <w:p w:rsidR="000700CC" w:rsidRPr="003313FE" w:rsidRDefault="000700CC" w:rsidP="00C66284">
            <w:pPr>
              <w:rPr>
                <w:bCs w:val="0"/>
              </w:rPr>
            </w:pPr>
            <w:r>
              <w:rPr>
                <w:rFonts w:ascii="Times New Roman" w:hAnsi="Times New Roman" w:cs="Times New Roman"/>
                <w:sz w:val="24"/>
                <w:szCs w:val="24"/>
              </w:rPr>
              <w:t>3.</w:t>
            </w:r>
            <w:r w:rsidRPr="003313FE">
              <w:rPr>
                <w:rFonts w:ascii="Times New Roman" w:hAnsi="Times New Roman" w:cs="Times New Roman"/>
                <w:sz w:val="24"/>
                <w:szCs w:val="24"/>
              </w:rPr>
              <w:t>Promovimi i një stili jetese të shëndetshëm dhe ofrimi i shërbimeve për mirëqenie të të rinjve</w:t>
            </w: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3313FE">
              <w:rPr>
                <w:rFonts w:ascii="Times New Roman" w:hAnsi="Times New Roman" w:cs="Times New Roman"/>
                <w:bCs/>
                <w:i/>
                <w:sz w:val="24"/>
                <w:szCs w:val="24"/>
              </w:rPr>
              <w:t>2.6 Organizimi i programeve të edukimit dhe ndërgjegjësimit</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 xml:space="preserve">DKRS/ DKA </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 xml:space="preserve">OJQ-ja përfituese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200 €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200 €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200 €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600 €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Default="000700CC" w:rsidP="00C66284"/>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3313FE">
              <w:rPr>
                <w:rFonts w:ascii="Times New Roman" w:hAnsi="Times New Roman" w:cs="Times New Roman"/>
                <w:bCs/>
                <w:i/>
                <w:sz w:val="24"/>
                <w:szCs w:val="24"/>
              </w:rPr>
              <w:t>3.1 Ofrimi i këshillimit individual dhe ndihmës së personave në nevojë</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DKRS/DKA/DSHMS</w:t>
            </w:r>
          </w:p>
        </w:tc>
        <w:tc>
          <w:tcPr>
            <w:tcW w:w="1312" w:type="dxa"/>
          </w:tcPr>
          <w:p w:rsidR="000700CC"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 xml:space="preserve">OJQ-të, </w:t>
            </w:r>
            <w:r>
              <w:rPr>
                <w:rFonts w:ascii="Times New Roman" w:hAnsi="Times New Roman" w:cs="Times New Roman"/>
                <w:sz w:val="24"/>
                <w:szCs w:val="24"/>
              </w:rPr>
              <w:t>MD, MSH, MKRS</w:t>
            </w:r>
          </w:p>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2000 €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2000 €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2000 €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6000 €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Default="000700CC" w:rsidP="00C66284"/>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3.2 Organizimi i aktiviteteve fizike dhe rekreativo-sportive</w:t>
            </w:r>
            <w:r w:rsidRPr="003313FE">
              <w:rPr>
                <w:rFonts w:ascii="Times New Roman" w:hAnsi="Times New Roman" w:cs="Times New Roman"/>
                <w:i/>
                <w:sz w:val="24"/>
                <w:szCs w:val="24"/>
              </w:rPr>
              <w:t>:</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OJQ-të, MKRS</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1000 €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1000 €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1000 €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3000€</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Default="000700CC" w:rsidP="00C66284"/>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3.3Përdorimi i teknologjisë për promovimin e shëndetit</w:t>
            </w:r>
            <w:r w:rsidRPr="003313FE">
              <w:rPr>
                <w:rFonts w:ascii="Times New Roman" w:hAnsi="Times New Roman" w:cs="Times New Roman"/>
                <w:i/>
                <w:sz w:val="24"/>
                <w:szCs w:val="24"/>
              </w:rPr>
              <w:t>:</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DKRS/DSHMS</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MKRS, MSH, MD,</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1000 €</w:t>
            </w:r>
          </w:p>
        </w:tc>
        <w:tc>
          <w:tcPr>
            <w:tcW w:w="931" w:type="dxa"/>
          </w:tcPr>
          <w:p w:rsidR="000700CC" w:rsidRPr="003313FE" w:rsidRDefault="000700CC" w:rsidP="00C662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 xml:space="preserve">1000€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1000 €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3000 €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Default="000700CC" w:rsidP="00C66284"/>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3.4 Promovimi i shërbimeve shëndetësore të specializuara</w:t>
            </w:r>
            <w:r w:rsidRPr="003313FE">
              <w:rPr>
                <w:rFonts w:ascii="Times New Roman" w:hAnsi="Times New Roman" w:cs="Times New Roman"/>
                <w:i/>
                <w:sz w:val="24"/>
                <w:szCs w:val="24"/>
              </w:rPr>
              <w:t>:</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DKRS/DSHMS</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MSH, MD,</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3000 €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3000 €</w:t>
            </w:r>
          </w:p>
        </w:tc>
        <w:tc>
          <w:tcPr>
            <w:tcW w:w="1027" w:type="dxa"/>
            <w:gridSpan w:val="2"/>
          </w:tcPr>
          <w:p w:rsidR="000700CC" w:rsidRPr="003313FE" w:rsidRDefault="000700CC" w:rsidP="00C662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3000 €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9000 €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tcPr>
          <w:p w:rsidR="000700CC" w:rsidRPr="003313FE" w:rsidRDefault="000700CC" w:rsidP="00C66284">
            <w:r>
              <w:rPr>
                <w:rFonts w:ascii="Times New Roman" w:hAnsi="Times New Roman" w:cs="Times New Roman"/>
                <w:sz w:val="24"/>
                <w:szCs w:val="24"/>
              </w:rPr>
              <w:t xml:space="preserve">4. </w:t>
            </w:r>
            <w:r w:rsidRPr="003313FE">
              <w:rPr>
                <w:rFonts w:ascii="Times New Roman" w:hAnsi="Times New Roman" w:cs="Times New Roman"/>
                <w:sz w:val="24"/>
                <w:szCs w:val="24"/>
              </w:rPr>
              <w:t>Inkurajimi i të rinjve për të angazhuar në punë vullnetare për të kontribuar në mirëqenien e komunitetit</w:t>
            </w: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4.1Promovimi i ndërgjegjësimit dhe motivimit</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DKRS/OJQ përfituese</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MKRS, MZHR, 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300 €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300 €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300 €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900 €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tcPr>
          <w:p w:rsidR="000700CC" w:rsidRPr="009076F0" w:rsidRDefault="000700CC" w:rsidP="00C66284">
            <w:pPr>
              <w:rPr>
                <w:rFonts w:ascii="Times New Roman" w:hAnsi="Times New Roman" w:cs="Times New Roman"/>
                <w:sz w:val="24"/>
                <w:szCs w:val="24"/>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4.2Identifikimi i nevojave të komunitetit dhe të projekteve vullnetare</w:t>
            </w:r>
            <w:r w:rsidRPr="003313FE">
              <w:rPr>
                <w:rFonts w:ascii="Times New Roman" w:hAnsi="Times New Roman" w:cs="Times New Roman"/>
                <w:i/>
                <w:sz w:val="24"/>
                <w:szCs w:val="24"/>
              </w:rPr>
              <w:t>:</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DKRS/OJQ përfituese</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MKRS, MZHR, 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250 €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250 €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250 €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750 €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tcPr>
          <w:p w:rsidR="000700CC" w:rsidRPr="009076F0" w:rsidRDefault="000700CC" w:rsidP="00C66284">
            <w:pPr>
              <w:rPr>
                <w:rFonts w:ascii="Times New Roman" w:hAnsi="Times New Roman" w:cs="Times New Roman"/>
                <w:sz w:val="24"/>
                <w:szCs w:val="24"/>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4.3 Organizimi i ngjarjeve dhe aktiviteteve vullnetare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DKRS/OJQ përfituese</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MKRS, MZHR, 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250 €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250 €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250 €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750 €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tcPr>
          <w:p w:rsidR="000700CC" w:rsidRPr="009076F0" w:rsidRDefault="000700CC" w:rsidP="00C66284">
            <w:pPr>
              <w:rPr>
                <w:rFonts w:ascii="Times New Roman" w:hAnsi="Times New Roman" w:cs="Times New Roman"/>
                <w:sz w:val="24"/>
                <w:szCs w:val="24"/>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4.4 Krijimi i platformave vullnetare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DKRS/OJQ përfituese</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MKRS, MZHR, 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700 €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700 €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700 €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750 €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tcPr>
          <w:p w:rsidR="000700CC" w:rsidRPr="009076F0" w:rsidRDefault="000700CC" w:rsidP="00C66284">
            <w:pPr>
              <w:rPr>
                <w:rFonts w:ascii="Times New Roman" w:hAnsi="Times New Roman" w:cs="Times New Roman"/>
                <w:sz w:val="24"/>
                <w:szCs w:val="24"/>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4.5Ofrimi i njohurive dhe aftësive të nevojshme</w:t>
            </w:r>
            <w:r w:rsidRPr="003313FE">
              <w:rPr>
                <w:rFonts w:ascii="Times New Roman" w:hAnsi="Times New Roman" w:cs="Times New Roman"/>
                <w:i/>
                <w:sz w:val="24"/>
                <w:szCs w:val="24"/>
              </w:rPr>
              <w:t>:</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DKRS/OJQ përfituese</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MKRS, MZHR, 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1,500.00 €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tcPr>
          <w:p w:rsidR="000700CC" w:rsidRPr="009076F0" w:rsidRDefault="000700CC" w:rsidP="00C66284">
            <w:pPr>
              <w:rPr>
                <w:rFonts w:ascii="Times New Roman" w:hAnsi="Times New Roman" w:cs="Times New Roman"/>
                <w:sz w:val="24"/>
                <w:szCs w:val="24"/>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4.6Inkurajimi dhe vlerësimi i kontributit vullnetar</w:t>
            </w:r>
            <w:r w:rsidRPr="003313FE">
              <w:rPr>
                <w:rFonts w:ascii="Times New Roman" w:hAnsi="Times New Roman" w:cs="Times New Roman"/>
                <w:i/>
                <w:sz w:val="24"/>
                <w:szCs w:val="24"/>
              </w:rPr>
              <w:t>:</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DKRS/OJQ përfituese</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MKRS, MZHR, 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300 €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300 €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300 €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900 €</w:t>
            </w:r>
          </w:p>
        </w:tc>
      </w:tr>
      <w:tr w:rsidR="000700CC" w:rsidRPr="007727A4" w:rsidTr="00C66284">
        <w:trPr>
          <w:trHeight w:val="4193"/>
        </w:trPr>
        <w:tc>
          <w:tcPr>
            <w:cnfStyle w:val="001000000000" w:firstRow="0" w:lastRow="0" w:firstColumn="1" w:lastColumn="0" w:oddVBand="0" w:evenVBand="0" w:oddHBand="0" w:evenHBand="0" w:firstRowFirstColumn="0" w:firstRowLastColumn="0" w:lastRowFirstColumn="0" w:lastRowLastColumn="0"/>
            <w:tcW w:w="1754" w:type="dxa"/>
          </w:tcPr>
          <w:p w:rsidR="000700CC" w:rsidRPr="003313FE" w:rsidRDefault="000700CC" w:rsidP="00C66284">
            <w:pPr>
              <w:tabs>
                <w:tab w:val="left" w:pos="3706"/>
              </w:tabs>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3313FE">
              <w:rPr>
                <w:rFonts w:ascii="Times New Roman" w:hAnsi="Times New Roman" w:cs="Times New Roman"/>
                <w:sz w:val="24"/>
                <w:szCs w:val="24"/>
              </w:rPr>
              <w:t>Inkurajimi i të rinjve për të angazhuar në aktivitete fizike dhe sportive, por edhe nga arti, kultura dhe trashëgimia kulturore</w:t>
            </w:r>
          </w:p>
          <w:p w:rsidR="000700CC" w:rsidRPr="009076F0" w:rsidRDefault="000700CC" w:rsidP="00C66284">
            <w:pPr>
              <w:rPr>
                <w:rFonts w:ascii="Times New Roman" w:hAnsi="Times New Roman" w:cs="Times New Roman"/>
                <w:sz w:val="24"/>
                <w:szCs w:val="24"/>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5.1Organizimi i ngjarjeve dhe aktiviteteve rekreativo-sportive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DKRS/OJQ përfituese</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MKRS-OJQ-të</w:t>
            </w:r>
          </w:p>
        </w:tc>
        <w:tc>
          <w:tcPr>
            <w:tcW w:w="93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110.000 €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110.000 €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110,000 €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330,000.00 €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tcPr>
          <w:p w:rsidR="000700CC" w:rsidRPr="00A07A78" w:rsidRDefault="000700CC" w:rsidP="00C66284">
            <w:pPr>
              <w:tabs>
                <w:tab w:val="left" w:pos="3706"/>
              </w:tabs>
              <w:spacing w:line="360" w:lineRule="auto"/>
              <w:jc w:val="both"/>
              <w:rPr>
                <w:rFonts w:ascii="Times New Roman" w:hAnsi="Times New Roman" w:cs="Times New Roman"/>
                <w:sz w:val="24"/>
                <w:szCs w:val="24"/>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5.2 Ofrimi i programeve dhe kurseve artistike dhe kulturore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DKRS/OJQ përfituese</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MKRS/OJQ-të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1000 €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1000 €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1000 €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3000 €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tcPr>
          <w:p w:rsidR="000700CC" w:rsidRPr="00A07A78" w:rsidRDefault="000700CC" w:rsidP="00C66284">
            <w:pPr>
              <w:tabs>
                <w:tab w:val="left" w:pos="3706"/>
              </w:tabs>
              <w:spacing w:line="360" w:lineRule="auto"/>
              <w:jc w:val="both"/>
              <w:rPr>
                <w:rFonts w:ascii="Times New Roman" w:hAnsi="Times New Roman" w:cs="Times New Roman"/>
                <w:sz w:val="24"/>
                <w:szCs w:val="24"/>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5.3 Krijimi i ambienteve të mbështetëse për aktivitetet alternative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 xml:space="preserve"> MKRS/OJQ-të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1500 €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tcPr>
          <w:p w:rsidR="000700CC" w:rsidRPr="00A07A78" w:rsidRDefault="000700CC" w:rsidP="00C66284">
            <w:pPr>
              <w:tabs>
                <w:tab w:val="left" w:pos="3706"/>
              </w:tabs>
              <w:spacing w:line="360" w:lineRule="auto"/>
              <w:jc w:val="both"/>
              <w:rPr>
                <w:rFonts w:ascii="Times New Roman" w:hAnsi="Times New Roman" w:cs="Times New Roman"/>
                <w:sz w:val="24"/>
                <w:szCs w:val="24"/>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5.4 Organizimi i eventeve kulturore dhe festivaleve rinore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DKRS/OJQ përfituese</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MKRS/OJQ-të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1500 €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tcPr>
          <w:p w:rsidR="000700CC" w:rsidRPr="00A63AC6" w:rsidRDefault="000700CC" w:rsidP="00C66284">
            <w:pPr>
              <w:tabs>
                <w:tab w:val="left" w:pos="3706"/>
              </w:tabs>
              <w:spacing w:line="360" w:lineRule="auto"/>
              <w:jc w:val="both"/>
              <w:rPr>
                <w:rFonts w:ascii="Times New Roman" w:hAnsi="Times New Roman" w:cs="Times New Roman"/>
                <w:b w:val="0"/>
                <w:sz w:val="24"/>
                <w:szCs w:val="24"/>
              </w:rPr>
            </w:pPr>
          </w:p>
          <w:p w:rsidR="000700CC" w:rsidRPr="00A63AC6" w:rsidRDefault="000700CC" w:rsidP="00C66284">
            <w:pPr>
              <w:tabs>
                <w:tab w:val="left" w:pos="3706"/>
              </w:tabs>
              <w:spacing w:line="360" w:lineRule="auto"/>
              <w:jc w:val="both"/>
              <w:rPr>
                <w:rFonts w:ascii="Times New Roman" w:hAnsi="Times New Roman" w:cs="Times New Roman"/>
                <w:b w:val="0"/>
                <w:sz w:val="24"/>
                <w:szCs w:val="24"/>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lastRenderedPageBreak/>
              <w:t xml:space="preserve">5.5 Përdorimi i teknologjisë për </w:t>
            </w:r>
            <w:r w:rsidRPr="003313FE">
              <w:rPr>
                <w:rFonts w:ascii="Times New Roman" w:hAnsi="Times New Roman" w:cs="Times New Roman"/>
                <w:bCs/>
                <w:i/>
                <w:sz w:val="24"/>
                <w:szCs w:val="24"/>
              </w:rPr>
              <w:lastRenderedPageBreak/>
              <w:t>të inkurajuar pjesëmarrjen</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lastRenderedPageBreak/>
              <w:t>DKRS/OJQ</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MKRS/OJQ-të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300 €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300 €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300 €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900 €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tcPr>
          <w:p w:rsidR="000700CC" w:rsidRPr="003313FE" w:rsidRDefault="000700CC" w:rsidP="00C66284">
            <w:pPr>
              <w:tabs>
                <w:tab w:val="left" w:pos="3706"/>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Pr="003313FE">
              <w:rPr>
                <w:rFonts w:ascii="Times New Roman" w:hAnsi="Times New Roman" w:cs="Times New Roman"/>
                <w:sz w:val="24"/>
                <w:szCs w:val="24"/>
              </w:rPr>
              <w:t>Mbështetje e nismave që promovojnë ekonominë e gjelbërt dhe mjediset të pastërta dhe të gjelbra</w:t>
            </w: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6.1 Inkurajimi i nismave për energjinë e ripërtrishme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DKRS/OJQ</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1,500.00 €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tcPr>
          <w:p w:rsidR="000700CC" w:rsidRPr="00A07A78" w:rsidRDefault="000700CC" w:rsidP="00C66284">
            <w:pPr>
              <w:tabs>
                <w:tab w:val="left" w:pos="3706"/>
              </w:tabs>
              <w:spacing w:line="360" w:lineRule="auto"/>
              <w:jc w:val="both"/>
              <w:rPr>
                <w:rFonts w:ascii="Times New Roman" w:hAnsi="Times New Roman" w:cs="Times New Roman"/>
                <w:sz w:val="24"/>
                <w:szCs w:val="24"/>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6.2 Promovimi i transportit ekologjik</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DKRS/OJQ-të</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1,500.00 €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tcPr>
          <w:p w:rsidR="000700CC" w:rsidRPr="00A07A78" w:rsidRDefault="000700CC" w:rsidP="00C66284">
            <w:pPr>
              <w:tabs>
                <w:tab w:val="left" w:pos="3706"/>
              </w:tabs>
              <w:spacing w:line="360" w:lineRule="auto"/>
              <w:jc w:val="both"/>
              <w:rPr>
                <w:rFonts w:ascii="Times New Roman" w:hAnsi="Times New Roman" w:cs="Times New Roman"/>
                <w:sz w:val="24"/>
                <w:szCs w:val="24"/>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6.3 Organizimi i fushatave të ndërgjegjësimit dhe edukimit</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DKRS/OJQ-të</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1,500.00 €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tcPr>
          <w:p w:rsidR="000700CC" w:rsidRPr="00A07A78" w:rsidRDefault="000700CC" w:rsidP="00C66284">
            <w:pPr>
              <w:tabs>
                <w:tab w:val="left" w:pos="3706"/>
              </w:tabs>
              <w:spacing w:line="360" w:lineRule="auto"/>
              <w:jc w:val="both"/>
              <w:rPr>
                <w:rFonts w:ascii="Times New Roman" w:hAnsi="Times New Roman" w:cs="Times New Roman"/>
                <w:sz w:val="24"/>
                <w:szCs w:val="24"/>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6.4 Inkurajimi i investimeve të qeverisjes lokale në projekte mjedisore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1,500.00 €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tcPr>
          <w:p w:rsidR="000700CC" w:rsidRPr="00A07A78" w:rsidRDefault="000700CC" w:rsidP="00C66284">
            <w:pPr>
              <w:tabs>
                <w:tab w:val="left" w:pos="3706"/>
              </w:tabs>
              <w:spacing w:line="360" w:lineRule="auto"/>
              <w:jc w:val="both"/>
              <w:rPr>
                <w:rFonts w:ascii="Times New Roman" w:hAnsi="Times New Roman" w:cs="Times New Roman"/>
                <w:sz w:val="24"/>
                <w:szCs w:val="24"/>
              </w:rPr>
            </w:pP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6.5 Përdorimi i teknologjisë për monitorimin dhe mbrojtjen e mjedisit</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DKRS/OJQ-të</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500 €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1,500.00 €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val="restart"/>
          </w:tcPr>
          <w:p w:rsidR="000700CC" w:rsidRDefault="000700CC" w:rsidP="00C66284">
            <w:pPr>
              <w:spacing w:before="240"/>
              <w:rPr>
                <w:rFonts w:ascii="Times New Roman" w:hAnsi="Times New Roman" w:cs="Times New Roman"/>
                <w:b w:val="0"/>
                <w:sz w:val="24"/>
                <w:szCs w:val="24"/>
              </w:rPr>
            </w:pPr>
            <w:r>
              <w:rPr>
                <w:rFonts w:ascii="Times New Roman" w:hAnsi="Times New Roman" w:cs="Times New Roman"/>
                <w:b w:val="0"/>
                <w:sz w:val="24"/>
                <w:szCs w:val="24"/>
              </w:rPr>
              <w:br/>
            </w:r>
          </w:p>
          <w:p w:rsidR="000700CC" w:rsidRDefault="000700CC" w:rsidP="00C66284">
            <w:pPr>
              <w:spacing w:before="240"/>
              <w:rPr>
                <w:rFonts w:ascii="Times New Roman" w:hAnsi="Times New Roman" w:cs="Times New Roman"/>
                <w:b w:val="0"/>
                <w:sz w:val="24"/>
                <w:szCs w:val="24"/>
              </w:rPr>
            </w:pPr>
          </w:p>
          <w:p w:rsidR="000700CC" w:rsidRPr="003313FE" w:rsidRDefault="000700CC" w:rsidP="00C66284">
            <w:pPr>
              <w:spacing w:before="240"/>
              <w:rPr>
                <w:bCs w:val="0"/>
              </w:rPr>
            </w:pPr>
            <w:r>
              <w:rPr>
                <w:rFonts w:ascii="Times New Roman" w:hAnsi="Times New Roman" w:cs="Times New Roman"/>
                <w:sz w:val="24"/>
                <w:szCs w:val="24"/>
              </w:rPr>
              <w:t>7.</w:t>
            </w:r>
            <w:r w:rsidRPr="003313FE">
              <w:rPr>
                <w:rFonts w:ascii="Times New Roman" w:hAnsi="Times New Roman" w:cs="Times New Roman"/>
                <w:sz w:val="24"/>
                <w:szCs w:val="24"/>
              </w:rPr>
              <w:t>Sigurimi i barazisë dhe pjesëmarrjes së të gjithë të rinjve në jetën sociale dhe publike të komunitetit</w:t>
            </w:r>
          </w:p>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3313FE">
              <w:rPr>
                <w:rFonts w:ascii="Times New Roman" w:hAnsi="Times New Roman" w:cs="Times New Roman"/>
                <w:bCs/>
                <w:i/>
                <w:sz w:val="24"/>
                <w:szCs w:val="24"/>
              </w:rPr>
              <w:t>7.1Krijimi i ambienteve gjithpërfshirëse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DKRS/DKA</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 xml:space="preserve">OJQ-të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700 €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700 €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700 €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2,100.00 €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Default="000700CC" w:rsidP="00C66284"/>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3313FE">
              <w:rPr>
                <w:rFonts w:ascii="Times New Roman" w:hAnsi="Times New Roman" w:cs="Times New Roman"/>
                <w:bCs/>
                <w:i/>
                <w:sz w:val="24"/>
                <w:szCs w:val="24"/>
              </w:rPr>
              <w:t>7.2Ndërtimi i partneriteteve me organizatat e shoqërisë civile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OJQ-ja përfituese, Grupet Vullnetare, MKRS</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800 €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800 €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800 €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color w:val="000000"/>
                <w:sz w:val="24"/>
                <w:szCs w:val="24"/>
              </w:rPr>
              <w:t>2,400.00 €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Default="000700CC" w:rsidP="00C66284"/>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7.3 Ofrimi i trajnimeve dhe fushatave informuese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DKRS/DKA</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600 €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600 €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600 €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1,800.00 €</w:t>
            </w:r>
          </w:p>
        </w:tc>
      </w:tr>
      <w:tr w:rsidR="000700CC" w:rsidRPr="007727A4" w:rsidTr="00C66284">
        <w:trPr>
          <w:trHeight w:val="543"/>
        </w:trPr>
        <w:tc>
          <w:tcPr>
            <w:cnfStyle w:val="001000000000" w:firstRow="0" w:lastRow="0" w:firstColumn="1" w:lastColumn="0" w:oddVBand="0" w:evenVBand="0" w:oddHBand="0" w:evenHBand="0" w:firstRowFirstColumn="0" w:firstRowLastColumn="0" w:lastRowFirstColumn="0" w:lastRowLastColumn="0"/>
            <w:tcW w:w="1754" w:type="dxa"/>
            <w:vMerge/>
          </w:tcPr>
          <w:p w:rsidR="000700CC" w:rsidRDefault="000700CC" w:rsidP="00C66284"/>
        </w:tc>
        <w:tc>
          <w:tcPr>
            <w:tcW w:w="1940"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rPr>
            </w:pPr>
            <w:r w:rsidRPr="003313FE">
              <w:rPr>
                <w:rFonts w:ascii="Times New Roman" w:hAnsi="Times New Roman" w:cs="Times New Roman"/>
                <w:bCs/>
                <w:i/>
                <w:sz w:val="24"/>
                <w:szCs w:val="24"/>
              </w:rPr>
              <w:t xml:space="preserve">7.4 Inkurajimi i përfaqësimit të diversitetit në </w:t>
            </w:r>
            <w:r w:rsidRPr="003313FE">
              <w:rPr>
                <w:rFonts w:ascii="Times New Roman" w:hAnsi="Times New Roman" w:cs="Times New Roman"/>
                <w:bCs/>
                <w:i/>
                <w:sz w:val="24"/>
                <w:szCs w:val="24"/>
              </w:rPr>
              <w:lastRenderedPageBreak/>
              <w:t xml:space="preserve">institucionet </w:t>
            </w:r>
            <w:r>
              <w:rPr>
                <w:rFonts w:ascii="Times New Roman" w:hAnsi="Times New Roman" w:cs="Times New Roman"/>
                <w:bCs/>
                <w:i/>
                <w:sz w:val="24"/>
                <w:szCs w:val="24"/>
              </w:rPr>
              <w:t>vendore</w:t>
            </w:r>
          </w:p>
        </w:tc>
        <w:tc>
          <w:tcPr>
            <w:tcW w:w="1791"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lastRenderedPageBreak/>
              <w:t>DKRS</w:t>
            </w:r>
          </w:p>
        </w:tc>
        <w:tc>
          <w:tcPr>
            <w:tcW w:w="1312" w:type="dxa"/>
          </w:tcPr>
          <w:p w:rsidR="000700CC" w:rsidRPr="003313FE" w:rsidRDefault="000700CC" w:rsidP="00C662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3FE">
              <w:rPr>
                <w:rFonts w:ascii="Times New Roman" w:hAnsi="Times New Roman" w:cs="Times New Roman"/>
                <w:sz w:val="24"/>
                <w:szCs w:val="24"/>
              </w:rPr>
              <w:t>OJQ-të</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400 €</w:t>
            </w:r>
          </w:p>
        </w:tc>
        <w:tc>
          <w:tcPr>
            <w:tcW w:w="931"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400 €</w:t>
            </w:r>
          </w:p>
        </w:tc>
        <w:tc>
          <w:tcPr>
            <w:tcW w:w="1027" w:type="dxa"/>
            <w:gridSpan w:val="2"/>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400 €</w:t>
            </w:r>
          </w:p>
        </w:tc>
        <w:tc>
          <w:tcPr>
            <w:tcW w:w="1677" w:type="dxa"/>
          </w:tcPr>
          <w:p w:rsidR="000700CC" w:rsidRPr="003313FE" w:rsidRDefault="000700CC" w:rsidP="00C6628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313FE">
              <w:rPr>
                <w:rFonts w:ascii="Times New Roman" w:hAnsi="Times New Roman" w:cs="Times New Roman"/>
                <w:color w:val="000000"/>
                <w:sz w:val="24"/>
                <w:szCs w:val="24"/>
              </w:rPr>
              <w:t>1,200.00 €</w:t>
            </w:r>
          </w:p>
        </w:tc>
      </w:tr>
      <w:tr w:rsidR="000700CC" w:rsidRPr="0008065A" w:rsidTr="00C66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1754" w:type="dxa"/>
          </w:tcPr>
          <w:p w:rsidR="000700CC" w:rsidRPr="0008065A" w:rsidRDefault="000700CC" w:rsidP="00C66284">
            <w:pPr>
              <w:tabs>
                <w:tab w:val="left" w:pos="3706"/>
              </w:tabs>
              <w:spacing w:line="360" w:lineRule="auto"/>
              <w:jc w:val="both"/>
              <w:rPr>
                <w:rFonts w:ascii="Times New Roman" w:hAnsi="Times New Roman" w:cs="Times New Roman"/>
                <w:b/>
                <w:color w:val="1F4E79" w:themeColor="accent1" w:themeShade="80"/>
                <w:sz w:val="24"/>
                <w:szCs w:val="24"/>
              </w:rPr>
            </w:pPr>
            <w:r w:rsidRPr="0008065A">
              <w:rPr>
                <w:rFonts w:ascii="Times New Roman" w:hAnsi="Times New Roman" w:cs="Times New Roman"/>
                <w:b/>
                <w:color w:val="1F4E79" w:themeColor="accent1" w:themeShade="80"/>
                <w:sz w:val="24"/>
                <w:szCs w:val="24"/>
              </w:rPr>
              <w:lastRenderedPageBreak/>
              <w:t>TOTALI</w:t>
            </w:r>
          </w:p>
        </w:tc>
        <w:tc>
          <w:tcPr>
            <w:tcW w:w="7918" w:type="dxa"/>
            <w:gridSpan w:val="6"/>
          </w:tcPr>
          <w:p w:rsidR="000700CC" w:rsidRPr="0008065A" w:rsidRDefault="000700CC" w:rsidP="00C66284">
            <w:pPr>
              <w:rPr>
                <w:rFonts w:ascii="Times New Roman" w:hAnsi="Times New Roman" w:cs="Times New Roman"/>
                <w:b/>
                <w:color w:val="1F4E79" w:themeColor="accent1" w:themeShade="80"/>
                <w:sz w:val="24"/>
                <w:szCs w:val="24"/>
              </w:rPr>
            </w:pPr>
          </w:p>
        </w:tc>
        <w:tc>
          <w:tcPr>
            <w:tcW w:w="1691" w:type="dxa"/>
            <w:gridSpan w:val="2"/>
          </w:tcPr>
          <w:p w:rsidR="000700CC" w:rsidRPr="0008065A" w:rsidRDefault="000700CC" w:rsidP="00C66284">
            <w:pPr>
              <w:tabs>
                <w:tab w:val="left" w:pos="3706"/>
              </w:tabs>
              <w:spacing w:line="360" w:lineRule="auto"/>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395,25</w:t>
            </w:r>
            <w:r w:rsidRPr="0008065A">
              <w:rPr>
                <w:rFonts w:ascii="Times New Roman" w:hAnsi="Times New Roman" w:cs="Times New Roman"/>
                <w:b/>
                <w:color w:val="1F4E79" w:themeColor="accent1" w:themeShade="80"/>
                <w:sz w:val="24"/>
                <w:szCs w:val="24"/>
              </w:rPr>
              <w:t xml:space="preserve">0.00 </w:t>
            </w:r>
            <w:r>
              <w:rPr>
                <w:rFonts w:ascii="Calibri" w:hAnsi="Calibri" w:cs="Calibri"/>
                <w:b/>
                <w:color w:val="1F4E79" w:themeColor="accent1" w:themeShade="80"/>
                <w:sz w:val="24"/>
                <w:szCs w:val="24"/>
              </w:rPr>
              <w:t>€</w:t>
            </w:r>
          </w:p>
        </w:tc>
      </w:tr>
    </w:tbl>
    <w:p w:rsidR="000700CC" w:rsidRPr="0008065A" w:rsidRDefault="000700CC" w:rsidP="000700CC">
      <w:pPr>
        <w:tabs>
          <w:tab w:val="left" w:pos="3706"/>
        </w:tabs>
        <w:spacing w:line="360" w:lineRule="auto"/>
        <w:jc w:val="both"/>
        <w:rPr>
          <w:rFonts w:ascii="Times New Roman" w:hAnsi="Times New Roman" w:cs="Times New Roman"/>
          <w:b/>
          <w:color w:val="1F4E79" w:themeColor="accent1" w:themeShade="80"/>
          <w:sz w:val="24"/>
          <w:szCs w:val="24"/>
          <w:lang w:val="sq-AL"/>
        </w:rPr>
      </w:pPr>
    </w:p>
    <w:p w:rsidR="000700CC" w:rsidRPr="0008065A" w:rsidRDefault="000700CC" w:rsidP="000700CC">
      <w:pPr>
        <w:tabs>
          <w:tab w:val="left" w:pos="3706"/>
        </w:tabs>
        <w:spacing w:line="360" w:lineRule="auto"/>
        <w:jc w:val="both"/>
        <w:rPr>
          <w:rFonts w:ascii="Times New Roman" w:hAnsi="Times New Roman" w:cs="Times New Roman"/>
          <w:b/>
          <w:color w:val="1F4E79" w:themeColor="accent1" w:themeShade="80"/>
          <w:sz w:val="24"/>
          <w:szCs w:val="24"/>
          <w:lang w:val="sq-AL"/>
        </w:rPr>
      </w:pPr>
    </w:p>
    <w:p w:rsidR="000700CC" w:rsidRPr="0008065A" w:rsidRDefault="000700CC" w:rsidP="000700CC">
      <w:pPr>
        <w:tabs>
          <w:tab w:val="left" w:pos="3706"/>
        </w:tabs>
        <w:spacing w:line="360" w:lineRule="auto"/>
        <w:jc w:val="both"/>
        <w:rPr>
          <w:rFonts w:ascii="Times New Roman" w:hAnsi="Times New Roman" w:cs="Times New Roman"/>
          <w:b/>
          <w:color w:val="1F4E79" w:themeColor="accent1" w:themeShade="80"/>
          <w:sz w:val="24"/>
          <w:szCs w:val="24"/>
          <w:lang w:val="sq-AL"/>
        </w:rPr>
      </w:pPr>
    </w:p>
    <w:p w:rsidR="000700CC" w:rsidRPr="0008065A" w:rsidRDefault="000700CC" w:rsidP="000700CC">
      <w:pPr>
        <w:tabs>
          <w:tab w:val="left" w:pos="3706"/>
        </w:tabs>
        <w:spacing w:line="360" w:lineRule="auto"/>
        <w:jc w:val="both"/>
        <w:rPr>
          <w:rFonts w:ascii="Times New Roman" w:hAnsi="Times New Roman" w:cs="Times New Roman"/>
          <w:b/>
          <w:color w:val="1F4E79" w:themeColor="accent1" w:themeShade="80"/>
          <w:sz w:val="24"/>
          <w:szCs w:val="24"/>
          <w:lang w:val="sq-AL"/>
        </w:rPr>
      </w:pPr>
    </w:p>
    <w:p w:rsidR="000700CC" w:rsidRPr="0008065A" w:rsidRDefault="000700CC" w:rsidP="000700CC">
      <w:pPr>
        <w:tabs>
          <w:tab w:val="left" w:pos="3706"/>
        </w:tabs>
        <w:spacing w:line="360" w:lineRule="auto"/>
        <w:jc w:val="both"/>
        <w:rPr>
          <w:rFonts w:ascii="Times New Roman" w:hAnsi="Times New Roman" w:cs="Times New Roman"/>
          <w:b/>
          <w:color w:val="1F4E79" w:themeColor="accent1" w:themeShade="80"/>
          <w:sz w:val="24"/>
          <w:szCs w:val="24"/>
          <w:lang w:val="sq-AL"/>
        </w:rPr>
      </w:pPr>
    </w:p>
    <w:p w:rsidR="000700CC" w:rsidRPr="0008065A" w:rsidRDefault="000700CC" w:rsidP="000700CC">
      <w:pPr>
        <w:tabs>
          <w:tab w:val="left" w:pos="3706"/>
        </w:tabs>
        <w:spacing w:line="360" w:lineRule="auto"/>
        <w:jc w:val="both"/>
        <w:rPr>
          <w:rFonts w:ascii="Times New Roman" w:hAnsi="Times New Roman" w:cs="Times New Roman"/>
          <w:b/>
          <w:color w:val="1F4E79" w:themeColor="accent1" w:themeShade="80"/>
          <w:sz w:val="24"/>
          <w:szCs w:val="24"/>
          <w:lang w:val="sq-AL"/>
        </w:rPr>
      </w:pPr>
    </w:p>
    <w:p w:rsidR="000700CC" w:rsidRPr="0008065A" w:rsidRDefault="000700CC" w:rsidP="000700CC">
      <w:pPr>
        <w:tabs>
          <w:tab w:val="left" w:pos="3706"/>
        </w:tabs>
        <w:spacing w:line="360" w:lineRule="auto"/>
        <w:jc w:val="both"/>
        <w:rPr>
          <w:rFonts w:ascii="Times New Roman" w:hAnsi="Times New Roman" w:cs="Times New Roman"/>
          <w:b/>
          <w:color w:val="1F4E79" w:themeColor="accent1" w:themeShade="80"/>
          <w:sz w:val="24"/>
          <w:szCs w:val="24"/>
          <w:lang w:val="sq-AL"/>
        </w:rPr>
      </w:pPr>
    </w:p>
    <w:p w:rsidR="000700CC" w:rsidRPr="0008065A" w:rsidRDefault="000700CC" w:rsidP="000700CC">
      <w:pPr>
        <w:tabs>
          <w:tab w:val="left" w:pos="3706"/>
        </w:tabs>
        <w:spacing w:line="360" w:lineRule="auto"/>
        <w:jc w:val="both"/>
        <w:rPr>
          <w:rFonts w:ascii="Times New Roman" w:hAnsi="Times New Roman" w:cs="Times New Roman"/>
          <w:b/>
          <w:color w:val="1F4E79" w:themeColor="accent1" w:themeShade="80"/>
          <w:sz w:val="24"/>
          <w:szCs w:val="24"/>
          <w:lang w:val="sq-AL"/>
        </w:rPr>
      </w:pPr>
    </w:p>
    <w:p w:rsidR="000700CC" w:rsidRPr="0008065A" w:rsidRDefault="000700CC" w:rsidP="000700CC">
      <w:pPr>
        <w:rPr>
          <w:rFonts w:ascii="Times New Roman" w:hAnsi="Times New Roman" w:cs="Times New Roman"/>
          <w:b/>
          <w:color w:val="1F4E79" w:themeColor="accent1" w:themeShade="80"/>
          <w:sz w:val="24"/>
          <w:szCs w:val="24"/>
          <w:lang w:val="sq-AL"/>
        </w:rPr>
      </w:pPr>
    </w:p>
    <w:p w:rsidR="000700CC" w:rsidRPr="0008065A" w:rsidRDefault="000700CC" w:rsidP="000700CC">
      <w:pPr>
        <w:rPr>
          <w:rFonts w:ascii="Times New Roman" w:hAnsi="Times New Roman" w:cs="Times New Roman"/>
          <w:b/>
          <w:color w:val="1F4E79" w:themeColor="accent1" w:themeShade="80"/>
          <w:sz w:val="24"/>
          <w:szCs w:val="24"/>
          <w:lang w:val="sq-AL"/>
        </w:rPr>
      </w:pPr>
    </w:p>
    <w:p w:rsidR="000700CC" w:rsidRPr="00287545" w:rsidRDefault="000700CC" w:rsidP="000700CC">
      <w:pPr>
        <w:ind w:firstLine="720"/>
        <w:rPr>
          <w:rFonts w:ascii="Times New Roman" w:hAnsi="Times New Roman" w:cs="Times New Roman"/>
          <w:sz w:val="24"/>
          <w:szCs w:val="24"/>
          <w:lang w:val="sq-AL"/>
        </w:rPr>
      </w:pPr>
    </w:p>
    <w:p w:rsidR="000D1034" w:rsidRDefault="000D1034"/>
    <w:sectPr w:rsidR="000D103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C63" w:rsidRDefault="000E5C63" w:rsidP="000700CC">
      <w:pPr>
        <w:spacing w:after="0" w:line="240" w:lineRule="auto"/>
      </w:pPr>
      <w:r>
        <w:separator/>
      </w:r>
    </w:p>
  </w:endnote>
  <w:endnote w:type="continuationSeparator" w:id="0">
    <w:p w:rsidR="000E5C63" w:rsidRDefault="000E5C63" w:rsidP="0007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921956"/>
      <w:docPartObj>
        <w:docPartGallery w:val="Page Numbers (Bottom of Page)"/>
        <w:docPartUnique/>
      </w:docPartObj>
    </w:sdtPr>
    <w:sdtEndPr>
      <w:rPr>
        <w:noProof/>
        <w:color w:val="808080" w:themeColor="background1" w:themeShade="80"/>
        <w:sz w:val="16"/>
        <w:szCs w:val="16"/>
      </w:rPr>
    </w:sdtEndPr>
    <w:sdtContent>
      <w:p w:rsidR="00121AEA" w:rsidRPr="00846B6E" w:rsidRDefault="009719DC">
        <w:pPr>
          <w:pStyle w:val="Footer"/>
          <w:jc w:val="right"/>
          <w:rPr>
            <w:color w:val="808080" w:themeColor="background1" w:themeShade="80"/>
            <w:sz w:val="16"/>
            <w:szCs w:val="16"/>
          </w:rPr>
        </w:pPr>
        <w:r w:rsidRPr="00846B6E">
          <w:rPr>
            <w:color w:val="808080" w:themeColor="background1" w:themeShade="80"/>
            <w:sz w:val="16"/>
            <w:szCs w:val="16"/>
          </w:rPr>
          <w:fldChar w:fldCharType="begin"/>
        </w:r>
        <w:r w:rsidRPr="00846B6E">
          <w:rPr>
            <w:color w:val="808080" w:themeColor="background1" w:themeShade="80"/>
            <w:sz w:val="16"/>
            <w:szCs w:val="16"/>
          </w:rPr>
          <w:instrText xml:space="preserve"> PAGE   \* MERGEFORMAT </w:instrText>
        </w:r>
        <w:r w:rsidRPr="00846B6E">
          <w:rPr>
            <w:color w:val="808080" w:themeColor="background1" w:themeShade="80"/>
            <w:sz w:val="16"/>
            <w:szCs w:val="16"/>
          </w:rPr>
          <w:fldChar w:fldCharType="separate"/>
        </w:r>
        <w:r w:rsidR="00DD0EBA">
          <w:rPr>
            <w:noProof/>
            <w:color w:val="808080" w:themeColor="background1" w:themeShade="80"/>
            <w:sz w:val="16"/>
            <w:szCs w:val="16"/>
          </w:rPr>
          <w:t>29</w:t>
        </w:r>
        <w:r w:rsidRPr="00846B6E">
          <w:rPr>
            <w:noProof/>
            <w:color w:val="808080" w:themeColor="background1" w:themeShade="80"/>
            <w:sz w:val="16"/>
            <w:szCs w:val="16"/>
          </w:rPr>
          <w:fldChar w:fldCharType="end"/>
        </w:r>
      </w:p>
    </w:sdtContent>
  </w:sdt>
  <w:p w:rsidR="00121AEA" w:rsidRPr="00BC57CC" w:rsidRDefault="009719DC" w:rsidP="005D5661">
    <w:pPr>
      <w:jc w:val="center"/>
      <w:rPr>
        <w:i/>
        <w:iCs/>
        <w:color w:val="808080" w:themeColor="background1" w:themeShade="80"/>
        <w:sz w:val="14"/>
        <w:szCs w:val="14"/>
        <w:lang w:val="sq-AL"/>
      </w:rPr>
    </w:pPr>
    <w:r w:rsidRPr="00BC57CC">
      <w:rPr>
        <w:i/>
        <w:iCs/>
        <w:color w:val="808080" w:themeColor="background1" w:themeShade="80"/>
        <w:sz w:val="14"/>
        <w:szCs w:val="14"/>
        <w:lang w:val="sq-AL"/>
      </w:rPr>
      <w:t>Ky projekt u mbështet përmes grantit të Ambasadës Amerikane në Prishtinë. Mendimet, përfundimet dhe konkludimet apo rekomandimet e shprehura këtu janë të Autorit(ëve) dhe jo medoemos pasqyrojnë qëndrimet e Departamentit të Shtetit.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C63" w:rsidRDefault="000E5C63" w:rsidP="000700CC">
      <w:pPr>
        <w:spacing w:after="0" w:line="240" w:lineRule="auto"/>
      </w:pPr>
      <w:r>
        <w:separator/>
      </w:r>
    </w:p>
  </w:footnote>
  <w:footnote w:type="continuationSeparator" w:id="0">
    <w:p w:rsidR="000E5C63" w:rsidRDefault="000E5C63" w:rsidP="000700CC">
      <w:pPr>
        <w:spacing w:after="0" w:line="240" w:lineRule="auto"/>
      </w:pPr>
      <w:r>
        <w:continuationSeparator/>
      </w:r>
    </w:p>
  </w:footnote>
  <w:footnote w:id="1">
    <w:p w:rsidR="000700CC" w:rsidRDefault="000700CC" w:rsidP="000700CC">
      <w:pPr>
        <w:pStyle w:val="FootnoteText"/>
      </w:pPr>
      <w:r>
        <w:rPr>
          <w:rStyle w:val="FootnoteReference"/>
        </w:rPr>
        <w:footnoteRef/>
      </w:r>
      <w:r>
        <w:t xml:space="preserve"> </w:t>
      </w:r>
      <w:hyperlink r:id="rId1" w:history="1">
        <w:r w:rsidRPr="00251157">
          <w:rPr>
            <w:rStyle w:val="Hyperlink"/>
          </w:rPr>
          <w:t>https://kk.rks-gov.net/gllogoc/category/vendimet/</w:t>
        </w:r>
      </w:hyperlink>
      <w:r>
        <w:t xml:space="preserve"> (</w:t>
      </w:r>
      <w:r w:rsidRPr="009D2F95">
        <w:rPr>
          <w:rFonts w:ascii="Times New Roman" w:hAnsi="Times New Roman" w:cs="Times New Roman"/>
          <w:sz w:val="18"/>
          <w:szCs w:val="22"/>
          <w:u w:val="single"/>
          <w:lang w:val="sq-AL"/>
        </w:rPr>
        <w:t>Lista e Akteve të Kryetarit të  Komunës për Muajin Mars 2024</w:t>
      </w:r>
      <w:r w:rsidRPr="009D2F95">
        <w:rPr>
          <w:rFonts w:ascii="Times New Roman" w:hAnsi="Times New Roman" w:cs="Times New Roman"/>
          <w:sz w:val="18"/>
          <w:szCs w:val="22"/>
        </w:rPr>
        <w:t>)</w:t>
      </w:r>
    </w:p>
  </w:footnote>
  <w:footnote w:id="2">
    <w:p w:rsidR="000700CC" w:rsidRDefault="000700CC" w:rsidP="000700CC">
      <w:pPr>
        <w:pStyle w:val="FootnoteText"/>
      </w:pPr>
      <w:r>
        <w:rPr>
          <w:rStyle w:val="FootnoteReference"/>
        </w:rPr>
        <w:footnoteRef/>
      </w:r>
      <w:r>
        <w:t xml:space="preserve"> Të dhënat nga </w:t>
      </w:r>
      <w:hyperlink r:id="rId2" w:history="1">
        <w:r w:rsidRPr="00251157">
          <w:rPr>
            <w:rStyle w:val="Hyperlink"/>
          </w:rPr>
          <w:t>https://ask.rks-gov.net/PopulationStats/PopulationByRegion</w:t>
        </w:r>
      </w:hyperlink>
      <w:r>
        <w:t xml:space="preserve"> </w:t>
      </w:r>
    </w:p>
  </w:footnote>
  <w:footnote w:id="3">
    <w:p w:rsidR="000700CC" w:rsidRDefault="000700CC" w:rsidP="000700CC">
      <w:pPr>
        <w:pStyle w:val="FootnoteText"/>
      </w:pPr>
      <w:r>
        <w:rPr>
          <w:rStyle w:val="FootnoteReference"/>
        </w:rPr>
        <w:footnoteRef/>
      </w:r>
      <w:r>
        <w:t xml:space="preserve"> </w:t>
      </w:r>
      <w:hyperlink r:id="rId3" w:history="1">
        <w:r w:rsidRPr="00251157">
          <w:rPr>
            <w:rStyle w:val="Hyperlink"/>
          </w:rPr>
          <w:t>https://youth.europa.eu/strategy_en</w:t>
        </w:r>
      </w:hyperlink>
      <w:r>
        <w:t xml:space="preserve"> </w:t>
      </w:r>
    </w:p>
  </w:footnote>
  <w:footnote w:id="4">
    <w:p w:rsidR="000700CC" w:rsidRPr="009629CB" w:rsidRDefault="000700CC" w:rsidP="000700CC">
      <w:pPr>
        <w:pStyle w:val="FootnoteText"/>
        <w:rPr>
          <w:sz w:val="18"/>
        </w:rPr>
      </w:pPr>
      <w:r>
        <w:rPr>
          <w:rStyle w:val="FootnoteReference"/>
        </w:rPr>
        <w:footnoteRef/>
      </w:r>
      <w:r>
        <w:t xml:space="preserve"> </w:t>
      </w:r>
      <w:hyperlink r:id="rId4" w:history="1">
        <w:r w:rsidRPr="009629CB">
          <w:rPr>
            <w:rStyle w:val="Hyperlink"/>
            <w:sz w:val="18"/>
          </w:rPr>
          <w:t>https://gzk.rks-gov.net/ActDetail.aspx?ActID=2530</w:t>
        </w:r>
      </w:hyperlink>
      <w:r w:rsidRPr="009629CB">
        <w:rPr>
          <w:sz w:val="18"/>
        </w:rPr>
        <w:t xml:space="preserve"> </w:t>
      </w:r>
    </w:p>
  </w:footnote>
  <w:footnote w:id="5">
    <w:p w:rsidR="000700CC" w:rsidRPr="009629CB" w:rsidRDefault="000700CC" w:rsidP="000700CC">
      <w:pPr>
        <w:pStyle w:val="FootnoteText"/>
        <w:rPr>
          <w:sz w:val="18"/>
        </w:rPr>
      </w:pPr>
      <w:r w:rsidRPr="009629CB">
        <w:rPr>
          <w:rStyle w:val="FootnoteReference"/>
          <w:sz w:val="18"/>
        </w:rPr>
        <w:footnoteRef/>
      </w:r>
      <w:r w:rsidRPr="009629CB">
        <w:rPr>
          <w:sz w:val="18"/>
        </w:rPr>
        <w:t xml:space="preserve"> </w:t>
      </w:r>
      <w:hyperlink r:id="rId5" w:history="1">
        <w:r w:rsidRPr="009629CB">
          <w:rPr>
            <w:rStyle w:val="Hyperlink"/>
            <w:sz w:val="18"/>
          </w:rPr>
          <w:t>https://gzk.rks-gov.net/ActDetail.aspx?ActID=12559</w:t>
        </w:r>
      </w:hyperlink>
      <w:r w:rsidRPr="009629CB">
        <w:rPr>
          <w:sz w:val="18"/>
        </w:rPr>
        <w:t xml:space="preserve"> </w:t>
      </w:r>
    </w:p>
  </w:footnote>
  <w:footnote w:id="6">
    <w:p w:rsidR="000700CC" w:rsidRPr="009629CB" w:rsidRDefault="000700CC" w:rsidP="000700CC">
      <w:pPr>
        <w:pStyle w:val="FootnoteText"/>
        <w:rPr>
          <w:sz w:val="18"/>
        </w:rPr>
      </w:pPr>
      <w:r w:rsidRPr="009629CB">
        <w:rPr>
          <w:rStyle w:val="FootnoteReference"/>
          <w:sz w:val="18"/>
        </w:rPr>
        <w:footnoteRef/>
      </w:r>
      <w:r w:rsidRPr="009629CB">
        <w:rPr>
          <w:sz w:val="18"/>
        </w:rPr>
        <w:t xml:space="preserve"> </w:t>
      </w:r>
      <w:hyperlink r:id="rId6" w:history="1">
        <w:r w:rsidRPr="009629CB">
          <w:rPr>
            <w:rStyle w:val="Hyperlink"/>
            <w:sz w:val="18"/>
          </w:rPr>
          <w:t>https://kk.rks-gov.net/gllogoc/wp-content/uploads/sites/10/2017/10/Statuti-i-Komunes.pdf</w:t>
        </w:r>
      </w:hyperlink>
      <w:r w:rsidRPr="009629CB">
        <w:rPr>
          <w:sz w:val="18"/>
        </w:rPr>
        <w:t xml:space="preserve"> </w:t>
      </w:r>
    </w:p>
  </w:footnote>
  <w:footnote w:id="7">
    <w:p w:rsidR="000700CC" w:rsidRPr="009629CB" w:rsidRDefault="000700CC" w:rsidP="000700CC">
      <w:pPr>
        <w:pStyle w:val="FootnoteText"/>
        <w:rPr>
          <w:sz w:val="18"/>
        </w:rPr>
      </w:pPr>
      <w:r w:rsidRPr="009629CB">
        <w:rPr>
          <w:rStyle w:val="FootnoteReference"/>
          <w:sz w:val="18"/>
        </w:rPr>
        <w:footnoteRef/>
      </w:r>
      <w:r w:rsidRPr="009629CB">
        <w:rPr>
          <w:sz w:val="18"/>
        </w:rPr>
        <w:t xml:space="preserve"> </w:t>
      </w:r>
      <w:hyperlink r:id="rId7" w:history="1">
        <w:r w:rsidRPr="009629CB">
          <w:rPr>
            <w:rStyle w:val="Hyperlink"/>
            <w:sz w:val="18"/>
          </w:rPr>
          <w:t>https://gzk.rks-gov.net/ActDetail.aspx?ActID=18813</w:t>
        </w:r>
      </w:hyperlink>
      <w:r w:rsidRPr="009629CB">
        <w:rPr>
          <w:sz w:val="18"/>
        </w:rPr>
        <w:t xml:space="preserve"> </w:t>
      </w:r>
    </w:p>
  </w:footnote>
  <w:footnote w:id="8">
    <w:p w:rsidR="000700CC" w:rsidRPr="009629CB" w:rsidRDefault="000700CC" w:rsidP="000700CC">
      <w:pPr>
        <w:pStyle w:val="FootnoteText"/>
        <w:rPr>
          <w:sz w:val="18"/>
        </w:rPr>
      </w:pPr>
      <w:r w:rsidRPr="009629CB">
        <w:rPr>
          <w:rStyle w:val="FootnoteReference"/>
          <w:sz w:val="18"/>
        </w:rPr>
        <w:footnoteRef/>
      </w:r>
      <w:r w:rsidRPr="009629CB">
        <w:rPr>
          <w:sz w:val="18"/>
        </w:rPr>
        <w:t xml:space="preserve"> </w:t>
      </w:r>
      <w:hyperlink r:id="rId8" w:history="1">
        <w:r w:rsidRPr="009629CB">
          <w:rPr>
            <w:rStyle w:val="Hyperlink"/>
            <w:sz w:val="18"/>
          </w:rPr>
          <w:t>https://kryeministri.rks-gov.net/wp-content/uploads/2022/05/MANUAL-PER-PLANIFIKIMIN-HARTIMIN-DHE-MONITORIMIN-E-DOKUMENTEVE-STRATEGJIKE-DHE-PLANEVE-TE-TYRE-TE-VEPRIMIT.pdf</w:t>
        </w:r>
      </w:hyperlink>
      <w:r w:rsidRPr="009629CB">
        <w:rPr>
          <w:sz w:val="18"/>
        </w:rPr>
        <w:t xml:space="preserve"> </w:t>
      </w:r>
    </w:p>
  </w:footnote>
  <w:footnote w:id="9">
    <w:p w:rsidR="000700CC" w:rsidRDefault="000700CC" w:rsidP="000700CC">
      <w:pPr>
        <w:pStyle w:val="FootnoteText"/>
      </w:pPr>
      <w:r w:rsidRPr="009629CB">
        <w:rPr>
          <w:rStyle w:val="FootnoteReference"/>
          <w:sz w:val="18"/>
        </w:rPr>
        <w:footnoteRef/>
      </w:r>
      <w:r w:rsidRPr="009629CB">
        <w:rPr>
          <w:sz w:val="18"/>
        </w:rPr>
        <w:t xml:space="preserve"> </w:t>
      </w:r>
      <w:hyperlink r:id="rId9" w:history="1">
        <w:r w:rsidRPr="009629CB">
          <w:rPr>
            <w:rStyle w:val="Hyperlink"/>
            <w:sz w:val="18"/>
          </w:rPr>
          <w:t>https://www.mkrs-ks.org/repository/docs/STRATEGJIA_SHTETERORE_PER_RINI_2024-2032_SQ.pdf</w:t>
        </w:r>
      </w:hyperlink>
      <w:r w:rsidRPr="009629CB">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AEA" w:rsidRDefault="009719DC">
    <w:pPr>
      <w:pStyle w:val="Header"/>
    </w:pPr>
    <w:r>
      <w:rPr>
        <w:noProof/>
        <w:sz w:val="24"/>
        <w:szCs w:val="24"/>
        <w:lang w:val="sq-AL" w:eastAsia="sq-AL"/>
      </w:rPr>
      <w:drawing>
        <wp:anchor distT="0" distB="0" distL="114300" distR="114300" simplePos="0" relativeHeight="251659264" behindDoc="0" locked="0" layoutInCell="1" allowOverlap="1" wp14:anchorId="59738CA1" wp14:editId="40E6DF8B">
          <wp:simplePos x="0" y="0"/>
          <wp:positionH relativeFrom="column">
            <wp:posOffset>2666365</wp:posOffset>
          </wp:positionH>
          <wp:positionV relativeFrom="paragraph">
            <wp:posOffset>-286385</wp:posOffset>
          </wp:positionV>
          <wp:extent cx="714375" cy="714375"/>
          <wp:effectExtent l="0" t="0" r="9525" b="9525"/>
          <wp:wrapSquare wrapText="bothSides"/>
          <wp:docPr id="1483932461" name="Picture 7"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32461" name="Picture 7" descr="A blu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p>
  <w:p w:rsidR="00121AEA" w:rsidRDefault="000E5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36FDC"/>
    <w:multiLevelType w:val="hybridMultilevel"/>
    <w:tmpl w:val="43521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F77C7"/>
    <w:multiLevelType w:val="hybridMultilevel"/>
    <w:tmpl w:val="77C64E84"/>
    <w:lvl w:ilvl="0" w:tplc="80387D68">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530E4"/>
    <w:multiLevelType w:val="hybridMultilevel"/>
    <w:tmpl w:val="73B0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EF50D5"/>
    <w:multiLevelType w:val="hybridMultilevel"/>
    <w:tmpl w:val="A4E217F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42822B6B"/>
    <w:multiLevelType w:val="hybridMultilevel"/>
    <w:tmpl w:val="A2D0A4D0"/>
    <w:lvl w:ilvl="0" w:tplc="7854B9E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DD132E"/>
    <w:multiLevelType w:val="hybridMultilevel"/>
    <w:tmpl w:val="E0D8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5F15F8"/>
    <w:multiLevelType w:val="hybridMultilevel"/>
    <w:tmpl w:val="B43ABC40"/>
    <w:lvl w:ilvl="0" w:tplc="53EC0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86D83"/>
    <w:multiLevelType w:val="multilevel"/>
    <w:tmpl w:val="FD9E5332"/>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53A93EE5"/>
    <w:multiLevelType w:val="hybridMultilevel"/>
    <w:tmpl w:val="5E16DC2A"/>
    <w:lvl w:ilvl="0" w:tplc="7854B9E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5C7060"/>
    <w:multiLevelType w:val="hybridMultilevel"/>
    <w:tmpl w:val="182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F73A3C"/>
    <w:multiLevelType w:val="hybridMultilevel"/>
    <w:tmpl w:val="F0323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0"/>
  </w:num>
  <w:num w:numId="5">
    <w:abstractNumId w:val="8"/>
  </w:num>
  <w:num w:numId="6">
    <w:abstractNumId w:val="4"/>
  </w:num>
  <w:num w:numId="7">
    <w:abstractNumId w:val="7"/>
  </w:num>
  <w:num w:numId="8">
    <w:abstractNumId w:val="6"/>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CF"/>
    <w:rsid w:val="000700CC"/>
    <w:rsid w:val="000D1034"/>
    <w:rsid w:val="000E5C63"/>
    <w:rsid w:val="00193FCF"/>
    <w:rsid w:val="003D6C63"/>
    <w:rsid w:val="009719DC"/>
    <w:rsid w:val="00DD0EBA"/>
    <w:rsid w:val="00FB10A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1A55E-C1CC-41CC-A910-E0197EA8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0CC"/>
    <w:rPr>
      <w:kern w:val="2"/>
      <w:lang w:val="en-US"/>
      <w14:ligatures w14:val="standardContextual"/>
    </w:rPr>
  </w:style>
  <w:style w:type="paragraph" w:styleId="Heading1">
    <w:name w:val="heading 1"/>
    <w:basedOn w:val="Normal"/>
    <w:next w:val="Normal"/>
    <w:link w:val="Heading1Char"/>
    <w:uiPriority w:val="9"/>
    <w:qFormat/>
    <w:rsid w:val="000700C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700C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700C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700C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700C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700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0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0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0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0CC"/>
    <w:rPr>
      <w:rFonts w:asciiTheme="majorHAnsi" w:eastAsiaTheme="majorEastAsia" w:hAnsiTheme="majorHAnsi" w:cstheme="majorBidi"/>
      <w:color w:val="2E74B5"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semiHidden/>
    <w:rsid w:val="000700CC"/>
    <w:rPr>
      <w:rFonts w:asciiTheme="majorHAnsi" w:eastAsiaTheme="majorEastAsia" w:hAnsiTheme="majorHAnsi" w:cstheme="majorBidi"/>
      <w:color w:val="2E74B5"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semiHidden/>
    <w:rsid w:val="000700CC"/>
    <w:rPr>
      <w:rFonts w:eastAsiaTheme="majorEastAsia" w:cstheme="majorBidi"/>
      <w:color w:val="2E74B5" w:themeColor="accent1" w:themeShade="BF"/>
      <w:kern w:val="2"/>
      <w:sz w:val="28"/>
      <w:szCs w:val="28"/>
      <w:lang w:val="en-US"/>
      <w14:ligatures w14:val="standardContextual"/>
    </w:rPr>
  </w:style>
  <w:style w:type="character" w:customStyle="1" w:styleId="Heading4Char">
    <w:name w:val="Heading 4 Char"/>
    <w:basedOn w:val="DefaultParagraphFont"/>
    <w:link w:val="Heading4"/>
    <w:uiPriority w:val="9"/>
    <w:semiHidden/>
    <w:rsid w:val="000700CC"/>
    <w:rPr>
      <w:rFonts w:eastAsiaTheme="majorEastAsia" w:cstheme="majorBidi"/>
      <w:i/>
      <w:iCs/>
      <w:color w:val="2E74B5" w:themeColor="accent1" w:themeShade="BF"/>
      <w:kern w:val="2"/>
      <w:lang w:val="en-US"/>
      <w14:ligatures w14:val="standardContextual"/>
    </w:rPr>
  </w:style>
  <w:style w:type="character" w:customStyle="1" w:styleId="Heading5Char">
    <w:name w:val="Heading 5 Char"/>
    <w:basedOn w:val="DefaultParagraphFont"/>
    <w:link w:val="Heading5"/>
    <w:uiPriority w:val="9"/>
    <w:semiHidden/>
    <w:rsid w:val="000700CC"/>
    <w:rPr>
      <w:rFonts w:eastAsiaTheme="majorEastAsia" w:cstheme="majorBidi"/>
      <w:color w:val="2E74B5" w:themeColor="accent1" w:themeShade="BF"/>
      <w:kern w:val="2"/>
      <w:lang w:val="en-US"/>
      <w14:ligatures w14:val="standardContextual"/>
    </w:rPr>
  </w:style>
  <w:style w:type="character" w:customStyle="1" w:styleId="Heading6Char">
    <w:name w:val="Heading 6 Char"/>
    <w:basedOn w:val="DefaultParagraphFont"/>
    <w:link w:val="Heading6"/>
    <w:uiPriority w:val="9"/>
    <w:semiHidden/>
    <w:rsid w:val="000700CC"/>
    <w:rPr>
      <w:rFonts w:eastAsiaTheme="majorEastAsia" w:cstheme="majorBidi"/>
      <w:i/>
      <w:iCs/>
      <w:color w:val="595959" w:themeColor="text1" w:themeTint="A6"/>
      <w:kern w:val="2"/>
      <w:lang w:val="en-US"/>
      <w14:ligatures w14:val="standardContextual"/>
    </w:rPr>
  </w:style>
  <w:style w:type="character" w:customStyle="1" w:styleId="Heading7Char">
    <w:name w:val="Heading 7 Char"/>
    <w:basedOn w:val="DefaultParagraphFont"/>
    <w:link w:val="Heading7"/>
    <w:uiPriority w:val="9"/>
    <w:semiHidden/>
    <w:rsid w:val="000700CC"/>
    <w:rPr>
      <w:rFonts w:eastAsiaTheme="majorEastAsia" w:cstheme="majorBidi"/>
      <w:color w:val="595959" w:themeColor="text1" w:themeTint="A6"/>
      <w:kern w:val="2"/>
      <w:lang w:val="en-US"/>
      <w14:ligatures w14:val="standardContextual"/>
    </w:rPr>
  </w:style>
  <w:style w:type="character" w:customStyle="1" w:styleId="Heading8Char">
    <w:name w:val="Heading 8 Char"/>
    <w:basedOn w:val="DefaultParagraphFont"/>
    <w:link w:val="Heading8"/>
    <w:uiPriority w:val="9"/>
    <w:semiHidden/>
    <w:rsid w:val="000700CC"/>
    <w:rPr>
      <w:rFonts w:eastAsiaTheme="majorEastAsia" w:cstheme="majorBidi"/>
      <w:i/>
      <w:iCs/>
      <w:color w:val="272727" w:themeColor="text1" w:themeTint="D8"/>
      <w:kern w:val="2"/>
      <w:lang w:val="en-US"/>
      <w14:ligatures w14:val="standardContextual"/>
    </w:rPr>
  </w:style>
  <w:style w:type="character" w:customStyle="1" w:styleId="Heading9Char">
    <w:name w:val="Heading 9 Char"/>
    <w:basedOn w:val="DefaultParagraphFont"/>
    <w:link w:val="Heading9"/>
    <w:uiPriority w:val="9"/>
    <w:semiHidden/>
    <w:rsid w:val="000700CC"/>
    <w:rPr>
      <w:rFonts w:eastAsiaTheme="majorEastAsia" w:cstheme="majorBidi"/>
      <w:color w:val="272727" w:themeColor="text1" w:themeTint="D8"/>
      <w:kern w:val="2"/>
      <w:lang w:val="en-US"/>
      <w14:ligatures w14:val="standardContextual"/>
    </w:rPr>
  </w:style>
  <w:style w:type="paragraph" w:styleId="Title">
    <w:name w:val="Title"/>
    <w:basedOn w:val="Normal"/>
    <w:next w:val="Normal"/>
    <w:link w:val="TitleChar"/>
    <w:uiPriority w:val="10"/>
    <w:qFormat/>
    <w:rsid w:val="00070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0CC"/>
    <w:rPr>
      <w:rFonts w:asciiTheme="majorHAnsi" w:eastAsiaTheme="majorEastAsia" w:hAnsiTheme="majorHAnsi" w:cstheme="majorBidi"/>
      <w:spacing w:val="-10"/>
      <w:kern w:val="28"/>
      <w:sz w:val="56"/>
      <w:szCs w:val="56"/>
      <w:lang w:val="en-US"/>
      <w14:ligatures w14:val="standardContextual"/>
    </w:rPr>
  </w:style>
  <w:style w:type="paragraph" w:styleId="Subtitle">
    <w:name w:val="Subtitle"/>
    <w:basedOn w:val="Normal"/>
    <w:next w:val="Normal"/>
    <w:link w:val="SubtitleChar"/>
    <w:uiPriority w:val="11"/>
    <w:qFormat/>
    <w:rsid w:val="000700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0CC"/>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0700CC"/>
    <w:pPr>
      <w:spacing w:before="160"/>
      <w:jc w:val="center"/>
    </w:pPr>
    <w:rPr>
      <w:i/>
      <w:iCs/>
      <w:color w:val="404040" w:themeColor="text1" w:themeTint="BF"/>
    </w:rPr>
  </w:style>
  <w:style w:type="character" w:customStyle="1" w:styleId="QuoteChar">
    <w:name w:val="Quote Char"/>
    <w:basedOn w:val="DefaultParagraphFont"/>
    <w:link w:val="Quote"/>
    <w:uiPriority w:val="29"/>
    <w:rsid w:val="000700CC"/>
    <w:rPr>
      <w:i/>
      <w:iCs/>
      <w:color w:val="404040" w:themeColor="text1" w:themeTint="BF"/>
      <w:kern w:val="2"/>
      <w:lang w:val="en-US"/>
      <w14:ligatures w14:val="standardContextual"/>
    </w:rPr>
  </w:style>
  <w:style w:type="paragraph" w:styleId="ListParagraph">
    <w:name w:val="List Paragraph"/>
    <w:basedOn w:val="Normal"/>
    <w:uiPriority w:val="34"/>
    <w:qFormat/>
    <w:rsid w:val="000700CC"/>
    <w:pPr>
      <w:ind w:left="720"/>
      <w:contextualSpacing/>
    </w:pPr>
  </w:style>
  <w:style w:type="character" w:styleId="IntenseEmphasis">
    <w:name w:val="Intense Emphasis"/>
    <w:basedOn w:val="DefaultParagraphFont"/>
    <w:uiPriority w:val="21"/>
    <w:qFormat/>
    <w:rsid w:val="000700CC"/>
    <w:rPr>
      <w:i/>
      <w:iCs/>
      <w:color w:val="2E74B5" w:themeColor="accent1" w:themeShade="BF"/>
    </w:rPr>
  </w:style>
  <w:style w:type="paragraph" w:styleId="IntenseQuote">
    <w:name w:val="Intense Quote"/>
    <w:basedOn w:val="Normal"/>
    <w:next w:val="Normal"/>
    <w:link w:val="IntenseQuoteChar"/>
    <w:uiPriority w:val="30"/>
    <w:qFormat/>
    <w:rsid w:val="000700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700CC"/>
    <w:rPr>
      <w:i/>
      <w:iCs/>
      <w:color w:val="2E74B5" w:themeColor="accent1" w:themeShade="BF"/>
      <w:kern w:val="2"/>
      <w:lang w:val="en-US"/>
      <w14:ligatures w14:val="standardContextual"/>
    </w:rPr>
  </w:style>
  <w:style w:type="character" w:styleId="IntenseReference">
    <w:name w:val="Intense Reference"/>
    <w:basedOn w:val="DefaultParagraphFont"/>
    <w:uiPriority w:val="32"/>
    <w:qFormat/>
    <w:rsid w:val="000700CC"/>
    <w:rPr>
      <w:b/>
      <w:bCs/>
      <w:smallCaps/>
      <w:color w:val="2E74B5" w:themeColor="accent1" w:themeShade="BF"/>
      <w:spacing w:val="5"/>
    </w:rPr>
  </w:style>
  <w:style w:type="paragraph" w:styleId="Header">
    <w:name w:val="header"/>
    <w:basedOn w:val="Normal"/>
    <w:link w:val="HeaderChar"/>
    <w:uiPriority w:val="99"/>
    <w:unhideWhenUsed/>
    <w:rsid w:val="00070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0CC"/>
    <w:rPr>
      <w:kern w:val="2"/>
      <w:lang w:val="en-US"/>
      <w14:ligatures w14:val="standardContextual"/>
    </w:rPr>
  </w:style>
  <w:style w:type="paragraph" w:styleId="Footer">
    <w:name w:val="footer"/>
    <w:basedOn w:val="Normal"/>
    <w:link w:val="FooterChar"/>
    <w:uiPriority w:val="99"/>
    <w:unhideWhenUsed/>
    <w:rsid w:val="00070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0CC"/>
    <w:rPr>
      <w:kern w:val="2"/>
      <w:lang w:val="en-US"/>
      <w14:ligatures w14:val="standardContextual"/>
    </w:rPr>
  </w:style>
  <w:style w:type="paragraph" w:styleId="TOCHeading">
    <w:name w:val="TOC Heading"/>
    <w:basedOn w:val="Heading1"/>
    <w:next w:val="Normal"/>
    <w:uiPriority w:val="39"/>
    <w:unhideWhenUsed/>
    <w:qFormat/>
    <w:rsid w:val="000700CC"/>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0700CC"/>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0700CC"/>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0700CC"/>
    <w:pPr>
      <w:spacing w:after="100"/>
      <w:ind w:left="440"/>
    </w:pPr>
    <w:rPr>
      <w:rFonts w:eastAsiaTheme="minorEastAsia" w:cs="Times New Roman"/>
      <w:kern w:val="0"/>
      <w14:ligatures w14:val="none"/>
    </w:rPr>
  </w:style>
  <w:style w:type="paragraph" w:styleId="FootnoteText">
    <w:name w:val="footnote text"/>
    <w:basedOn w:val="Normal"/>
    <w:link w:val="FootnoteTextChar"/>
    <w:uiPriority w:val="99"/>
    <w:semiHidden/>
    <w:unhideWhenUsed/>
    <w:rsid w:val="000700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0CC"/>
    <w:rPr>
      <w:kern w:val="2"/>
      <w:sz w:val="20"/>
      <w:szCs w:val="20"/>
      <w:lang w:val="en-US"/>
      <w14:ligatures w14:val="standardContextual"/>
    </w:rPr>
  </w:style>
  <w:style w:type="character" w:styleId="FootnoteReference">
    <w:name w:val="footnote reference"/>
    <w:basedOn w:val="DefaultParagraphFont"/>
    <w:uiPriority w:val="99"/>
    <w:semiHidden/>
    <w:unhideWhenUsed/>
    <w:rsid w:val="000700CC"/>
    <w:rPr>
      <w:vertAlign w:val="superscript"/>
    </w:rPr>
  </w:style>
  <w:style w:type="character" w:styleId="Hyperlink">
    <w:name w:val="Hyperlink"/>
    <w:basedOn w:val="DefaultParagraphFont"/>
    <w:uiPriority w:val="99"/>
    <w:unhideWhenUsed/>
    <w:rsid w:val="000700CC"/>
    <w:rPr>
      <w:color w:val="0563C1" w:themeColor="hyperlink"/>
      <w:u w:val="single"/>
    </w:rPr>
  </w:style>
  <w:style w:type="table" w:styleId="GridTable1Light-Accent1">
    <w:name w:val="Grid Table 1 Light Accent 1"/>
    <w:basedOn w:val="TableNormal"/>
    <w:uiPriority w:val="46"/>
    <w:rsid w:val="000700CC"/>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kryeministri.rks-gov.net/wp-content/uploads/2022/05/MANUAL-PER-PLANIFIKIMIN-HARTIMIN-DHE-MONITORIMIN-E-DOKUMENTEVE-STRATEGJIKE-DHE-PLANEVE-TE-TYRE-TE-VEPRIMIT.pdf" TargetMode="External"/><Relationship Id="rId3" Type="http://schemas.openxmlformats.org/officeDocument/2006/relationships/hyperlink" Target="https://youth.europa.eu/strategy_en" TargetMode="External"/><Relationship Id="rId7" Type="http://schemas.openxmlformats.org/officeDocument/2006/relationships/hyperlink" Target="https://gzk.rks-gov.net/ActDetail.aspx?ActID=18813" TargetMode="External"/><Relationship Id="rId2" Type="http://schemas.openxmlformats.org/officeDocument/2006/relationships/hyperlink" Target="https://ask.rks-gov.net/PopulationStats/PopulationByRegion" TargetMode="External"/><Relationship Id="rId1" Type="http://schemas.openxmlformats.org/officeDocument/2006/relationships/hyperlink" Target="https://kk.rks-gov.net/gllogoc/category/vendimet/" TargetMode="External"/><Relationship Id="rId6" Type="http://schemas.openxmlformats.org/officeDocument/2006/relationships/hyperlink" Target="https://kk.rks-gov.net/gllogoc/wp-content/uploads/sites/10/2017/10/Statuti-i-Komunes.pdf" TargetMode="External"/><Relationship Id="rId5" Type="http://schemas.openxmlformats.org/officeDocument/2006/relationships/hyperlink" Target="https://gzk.rks-gov.net/ActDetail.aspx?ActID=12559" TargetMode="External"/><Relationship Id="rId4" Type="http://schemas.openxmlformats.org/officeDocument/2006/relationships/hyperlink" Target="https://gzk.rks-gov.net/ActDetail.aspx?ActID=2530" TargetMode="External"/><Relationship Id="rId9" Type="http://schemas.openxmlformats.org/officeDocument/2006/relationships/hyperlink" Target="https://www.mkrs-ks.org/repository/docs/STRATEGJIA_SHTETERORE_PER_RINI_2024-2032_SQ.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6716</Words>
  <Characters>38285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Laureta Thaqi</dc:creator>
  <cp:keywords/>
  <dc:description/>
  <cp:lastModifiedBy>Laureta Thaqi</cp:lastModifiedBy>
  <cp:revision>2</cp:revision>
  <dcterms:created xsi:type="dcterms:W3CDTF">2024-05-30T12:51:00Z</dcterms:created>
  <dcterms:modified xsi:type="dcterms:W3CDTF">2024-05-30T12:51:00Z</dcterms:modified>
</cp:coreProperties>
</file>