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DC5241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9610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RAPORTI  GJASHTË MUJOR FINANCIAR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</w:t>
                </w:r>
                <w:proofErr w:type="spellStart"/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iudhën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:  </w:t>
                </w:r>
                <w:proofErr w:type="spellStart"/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–</w:t>
                </w:r>
                <w:r w:rsidR="002F012C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</w:t>
                </w:r>
                <w:proofErr w:type="spellStart"/>
                <w:r w:rsidR="002F012C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Qershor</w:t>
                </w:r>
                <w:proofErr w:type="spellEnd"/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F369B6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2024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</w:t>
                    </w:r>
                    <w:proofErr w:type="spellEnd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Kuvendin</w:t>
                    </w:r>
                    <w:proofErr w:type="spellEnd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Komunal</w:t>
                    </w:r>
                    <w:proofErr w:type="spellEnd"/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i </w:t>
          </w: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komunës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Besim </w:t>
          </w:r>
          <w:proofErr w:type="spellStart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Ilazi</w:t>
          </w:r>
          <w:proofErr w:type="spellEnd"/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3313FA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</w:t>
          </w:r>
          <w:proofErr w:type="spellEnd"/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Korrik</w:t>
          </w:r>
          <w:proofErr w:type="spellEnd"/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F369B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2024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8E254B">
            <w:rPr>
              <w:b/>
              <w:sz w:val="28"/>
              <w:szCs w:val="28"/>
              <w:lang w:val="sq-AL"/>
            </w:rPr>
            <w:t>ër periudhën  Janar – Qershor</w:t>
          </w:r>
          <w:r w:rsidR="00F369B6">
            <w:rPr>
              <w:b/>
              <w:sz w:val="28"/>
              <w:szCs w:val="28"/>
              <w:lang w:val="sq-AL"/>
            </w:rPr>
            <w:t xml:space="preserve">  2024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proofErr w:type="spellStart"/>
          <w:proofErr w:type="gramStart"/>
          <w:r w:rsidRPr="002C1795">
            <w:rPr>
              <w:rFonts w:cstheme="minorHAnsi"/>
            </w:rPr>
            <w:t>Raporti</w:t>
          </w:r>
          <w:proofErr w:type="spellEnd"/>
          <w:r w:rsidRPr="002C1795">
            <w:rPr>
              <w:rFonts w:cstheme="minorHAnsi"/>
            </w:rPr>
            <w:t xml:space="preserve"> i </w:t>
          </w:r>
          <w:proofErr w:type="spellStart"/>
          <w:r w:rsidRPr="002C1795">
            <w:rPr>
              <w:rFonts w:cstheme="minorHAnsi"/>
            </w:rPr>
            <w:t>Buxhetit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Komunal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periud</w:t>
          </w:r>
          <w:r w:rsidR="008E254B">
            <w:rPr>
              <w:rFonts w:cstheme="minorHAnsi"/>
            </w:rPr>
            <w:t>hën</w:t>
          </w:r>
          <w:proofErr w:type="spellEnd"/>
          <w:r w:rsidR="008E254B">
            <w:rPr>
              <w:rFonts w:cstheme="minorHAnsi"/>
            </w:rPr>
            <w:t xml:space="preserve"> </w:t>
          </w:r>
          <w:proofErr w:type="spellStart"/>
          <w:r w:rsidR="008E254B">
            <w:rPr>
              <w:rFonts w:cstheme="minorHAnsi"/>
            </w:rPr>
            <w:t>Janar</w:t>
          </w:r>
          <w:proofErr w:type="spellEnd"/>
          <w:r w:rsidR="008E254B">
            <w:rPr>
              <w:rFonts w:cstheme="minorHAnsi"/>
            </w:rPr>
            <w:t xml:space="preserve"> – </w:t>
          </w:r>
          <w:proofErr w:type="spellStart"/>
          <w:r w:rsidR="008E254B">
            <w:rPr>
              <w:rFonts w:cstheme="minorHAnsi"/>
            </w:rPr>
            <w:t>Qershor</w:t>
          </w:r>
          <w:proofErr w:type="spellEnd"/>
          <w:r w:rsidR="00F369B6">
            <w:rPr>
              <w:rFonts w:cstheme="minorHAnsi"/>
            </w:rPr>
            <w:t xml:space="preserve"> 2024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qëllim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informimit</w:t>
          </w:r>
          <w:proofErr w:type="spellEnd"/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objektiv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lidhur</w:t>
          </w:r>
          <w:proofErr w:type="spellEnd"/>
          <w:r w:rsidRPr="002C1795">
            <w:rPr>
              <w:rFonts w:cstheme="minorHAnsi"/>
            </w:rPr>
            <w:t xml:space="preserve"> me </w:t>
          </w:r>
          <w:proofErr w:type="spellStart"/>
          <w:r w:rsidRPr="002C1795">
            <w:rPr>
              <w:rFonts w:cstheme="minorHAnsi"/>
            </w:rPr>
            <w:t>ecurinë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me </w:t>
          </w:r>
          <w:proofErr w:type="spellStart"/>
          <w:r w:rsidRPr="002C1795">
            <w:rPr>
              <w:rFonts w:cstheme="minorHAnsi"/>
            </w:rPr>
            <w:t>treguesit</w:t>
          </w:r>
          <w:proofErr w:type="spellEnd"/>
          <w:r w:rsidRPr="002C1795">
            <w:rPr>
              <w:rFonts w:cstheme="minorHAnsi"/>
            </w:rPr>
            <w:t xml:space="preserve"> relevant </w:t>
          </w:r>
          <w:proofErr w:type="spellStart"/>
          <w:r w:rsidRPr="002C1795">
            <w:rPr>
              <w:rFonts w:cstheme="minorHAnsi"/>
            </w:rPr>
            <w:t>rreth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përmbushjes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planit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grumbullimit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mjeteve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burimeve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përmbushjes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obligimeve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planifikuara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plan </w:t>
          </w:r>
          <w:proofErr w:type="spellStart"/>
          <w:r w:rsidRPr="002C1795">
            <w:rPr>
              <w:rFonts w:cstheme="minorHAnsi"/>
            </w:rPr>
            <w:t>programeve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dinamikën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mjeteve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shpenzuara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atë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sipas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natyrës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shpenzimeve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kategorive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përcaktuara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buxhetore</w:t>
          </w:r>
          <w:proofErr w:type="spellEnd"/>
          <w:r w:rsidRPr="002C1795">
            <w:rPr>
              <w:rFonts w:cstheme="minorHAnsi"/>
            </w:rPr>
            <w:t xml:space="preserve">, </w:t>
          </w:r>
          <w:proofErr w:type="spellStart"/>
          <w:r w:rsidRPr="002C1795">
            <w:rPr>
              <w:rFonts w:cstheme="minorHAnsi"/>
            </w:rPr>
            <w:t>rrjedhën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parasë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si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dhe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treguesit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tjerë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që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kanë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ndikuar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në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rezultatet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përgjithshme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këtë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periudhë</w:t>
          </w:r>
          <w:proofErr w:type="spellEnd"/>
          <w:r w:rsidRPr="002C1795">
            <w:rPr>
              <w:rFonts w:cstheme="minorHAnsi"/>
            </w:rPr>
            <w:t>.</w:t>
          </w:r>
          <w:proofErr w:type="gramEnd"/>
          <w:r w:rsidRPr="002C1795">
            <w:rPr>
              <w:rFonts w:cstheme="minorHAnsi"/>
            </w:rPr>
            <w:t xml:space="preserve"> </w:t>
          </w:r>
          <w:r>
            <w:rPr>
              <w:rFonts w:cstheme="minorHAnsi"/>
            </w:rPr>
            <w:t xml:space="preserve">   </w:t>
          </w:r>
          <w:proofErr w:type="spellStart"/>
          <w:r w:rsidRPr="002C1795">
            <w:rPr>
              <w:rFonts w:cstheme="minorHAnsi"/>
            </w:rPr>
            <w:t>Ecuria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përgjithshme</w:t>
          </w:r>
          <w:proofErr w:type="spellEnd"/>
          <w:r w:rsidRPr="002C1795">
            <w:rPr>
              <w:rFonts w:cstheme="minorHAnsi"/>
            </w:rPr>
            <w:t xml:space="preserve"> e </w:t>
          </w:r>
          <w:proofErr w:type="spellStart"/>
          <w:r w:rsidRPr="002C1795">
            <w:rPr>
              <w:rFonts w:cstheme="minorHAnsi"/>
            </w:rPr>
            <w:t>këtyre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>ve</w:t>
          </w:r>
          <w:proofErr w:type="spellEnd"/>
          <w:r w:rsidRPr="002C1795">
            <w:rPr>
              <w:rFonts w:cstheme="minorHAnsi"/>
            </w:rPr>
            <w:t xml:space="preserve"> do </w:t>
          </w:r>
          <w:proofErr w:type="spellStart"/>
          <w:r w:rsidRPr="002C1795">
            <w:rPr>
              <w:rFonts w:cstheme="minorHAnsi"/>
            </w:rPr>
            <w:t>të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r w:rsidRPr="002C1795">
            <w:rPr>
              <w:rFonts w:cstheme="minorHAnsi"/>
            </w:rPr>
            <w:t>prezantohet</w:t>
          </w:r>
          <w:proofErr w:type="spellEnd"/>
          <w:r w:rsidRPr="002C1795">
            <w:rPr>
              <w:rFonts w:cstheme="minorHAnsi"/>
            </w:rPr>
            <w:t xml:space="preserve"> </w:t>
          </w:r>
          <w:proofErr w:type="spellStart"/>
          <w:proofErr w:type="gramStart"/>
          <w:r w:rsidRPr="002C1795">
            <w:rPr>
              <w:rFonts w:cstheme="minorHAnsi"/>
            </w:rPr>
            <w:t>për</w:t>
          </w:r>
          <w:proofErr w:type="spellEnd"/>
          <w:r w:rsidRPr="002C1795">
            <w:rPr>
              <w:rFonts w:cstheme="minorHAnsi"/>
            </w:rPr>
            <w:t xml:space="preserve">  </w:t>
          </w:r>
          <w:r w:rsidR="00EB35AE">
            <w:rPr>
              <w:rFonts w:cstheme="minorHAnsi"/>
            </w:rPr>
            <w:t>12</w:t>
          </w:r>
          <w:proofErr w:type="gramEnd"/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proofErr w:type="spellStart"/>
          <w:r w:rsidR="00EB35AE">
            <w:rPr>
              <w:rFonts w:cstheme="minorHAnsi"/>
            </w:rPr>
            <w:t>dymbë</w:t>
          </w:r>
          <w:r w:rsidR="00C67F56">
            <w:rPr>
              <w:rFonts w:cstheme="minorHAnsi"/>
            </w:rPr>
            <w:t>dhjetë</w:t>
          </w:r>
          <w:proofErr w:type="spellEnd"/>
          <w:r w:rsidR="00C67F56">
            <w:rPr>
              <w:rFonts w:cstheme="minorHAnsi"/>
            </w:rPr>
            <w:t xml:space="preserve">)  </w:t>
          </w:r>
          <w:proofErr w:type="spellStart"/>
          <w:r w:rsidR="00C67F56">
            <w:rPr>
              <w:rFonts w:cstheme="minorHAnsi"/>
            </w:rPr>
            <w:t>programet</w:t>
          </w:r>
          <w:proofErr w:type="spellEnd"/>
          <w:r w:rsidR="00C67F56">
            <w:rPr>
              <w:rFonts w:cstheme="minorHAnsi"/>
            </w:rPr>
            <w:t xml:space="preserve"> </w:t>
          </w:r>
          <w:proofErr w:type="spellStart"/>
          <w:r w:rsidR="00C67F56">
            <w:rPr>
              <w:rFonts w:cstheme="minorHAnsi"/>
            </w:rPr>
            <w:t>buxhetore</w:t>
          </w:r>
          <w:proofErr w:type="spellEnd"/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Zyra</w:t>
          </w:r>
          <w:proofErr w:type="spellEnd"/>
          <w:r>
            <w:rPr>
              <w:rFonts w:cstheme="minorHAnsi"/>
            </w:rPr>
            <w:t xml:space="preserve"> e </w:t>
          </w:r>
          <w:proofErr w:type="spellStart"/>
          <w:r>
            <w:rPr>
              <w:rFonts w:cstheme="minorHAnsi"/>
            </w:rPr>
            <w:t>Kryetarit</w:t>
          </w:r>
          <w:proofErr w:type="spellEnd"/>
          <w:r>
            <w:rPr>
              <w:rFonts w:cstheme="minorHAnsi"/>
            </w:rPr>
            <w:t xml:space="preserve">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Administrata</w:t>
          </w:r>
          <w:proofErr w:type="spellEnd"/>
          <w:r>
            <w:rPr>
              <w:rFonts w:cstheme="minorHAnsi"/>
            </w:rPr>
            <w:t xml:space="preserve"> e </w:t>
          </w:r>
          <w:proofErr w:type="spellStart"/>
          <w:r>
            <w:rPr>
              <w:rFonts w:cstheme="minorHAnsi"/>
            </w:rPr>
            <w:t>Përgjithshme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Çështjet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Gjinore</w:t>
          </w:r>
          <w:proofErr w:type="spellEnd"/>
          <w:r>
            <w:rPr>
              <w:rFonts w:cstheme="minorHAnsi"/>
            </w:rPr>
            <w:t xml:space="preserve">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Zyra</w:t>
          </w:r>
          <w:proofErr w:type="spellEnd"/>
          <w:r>
            <w:rPr>
              <w:rFonts w:cstheme="minorHAnsi"/>
            </w:rPr>
            <w:t xml:space="preserve"> e </w:t>
          </w:r>
          <w:proofErr w:type="spellStart"/>
          <w:r>
            <w:rPr>
              <w:rFonts w:cstheme="minorHAnsi"/>
            </w:rPr>
            <w:t>Kuvendit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Komunal</w:t>
          </w:r>
          <w:proofErr w:type="spellEnd"/>
          <w:r>
            <w:rPr>
              <w:rFonts w:cstheme="minorHAnsi"/>
            </w:rPr>
            <w:t xml:space="preserve">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Buxhet</w:t>
          </w:r>
          <w:proofErr w:type="spellEnd"/>
          <w:r w:rsidR="00A41E4A">
            <w:rPr>
              <w:rFonts w:cstheme="minorHAnsi"/>
            </w:rPr>
            <w:t xml:space="preserve"> </w:t>
          </w:r>
          <w:proofErr w:type="spellStart"/>
          <w:r w:rsidR="00A41E4A">
            <w:rPr>
              <w:rFonts w:cstheme="minorHAnsi"/>
            </w:rPr>
            <w:t>dhe</w:t>
          </w:r>
          <w:proofErr w:type="spellEnd"/>
          <w:r w:rsidR="00A41E4A">
            <w:rPr>
              <w:rFonts w:cstheme="minorHAnsi"/>
            </w:rPr>
            <w:t xml:space="preserve"> </w:t>
          </w:r>
          <w:proofErr w:type="spellStart"/>
          <w:r w:rsidR="00A41E4A">
            <w:rPr>
              <w:rFonts w:cstheme="minorHAnsi"/>
            </w:rPr>
            <w:t>Financa</w:t>
          </w:r>
          <w:proofErr w:type="spellEnd"/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Zhvillim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Ekonomik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Turizëm</w:t>
          </w:r>
          <w:proofErr w:type="spellEnd"/>
          <w:r>
            <w:rPr>
              <w:rFonts w:cstheme="minorHAnsi"/>
            </w:rPr>
            <w:t>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Shërbimet</w:t>
          </w:r>
          <w:proofErr w:type="spellEnd"/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</w:t>
          </w:r>
          <w:proofErr w:type="spellStart"/>
          <w:r w:rsidR="00595620">
            <w:rPr>
              <w:rFonts w:cstheme="minorHAnsi"/>
            </w:rPr>
            <w:t>Publike</w:t>
          </w:r>
          <w:proofErr w:type="spellEnd"/>
          <w:r w:rsidR="00595620">
            <w:rPr>
              <w:rFonts w:cstheme="minorHAnsi"/>
            </w:rPr>
            <w:t xml:space="preserve">, </w:t>
          </w:r>
          <w:proofErr w:type="spellStart"/>
          <w:r w:rsidR="00595620">
            <w:rPr>
              <w:rFonts w:cstheme="minorHAnsi"/>
            </w:rPr>
            <w:t>Mbrojtje</w:t>
          </w:r>
          <w:proofErr w:type="spellEnd"/>
          <w:r w:rsidR="00595620">
            <w:rPr>
              <w:rFonts w:cstheme="minorHAnsi"/>
            </w:rPr>
            <w:t xml:space="preserve"> </w:t>
          </w:r>
          <w:proofErr w:type="spellStart"/>
          <w:r w:rsidR="00595620">
            <w:rPr>
              <w:rFonts w:cstheme="minorHAnsi"/>
            </w:rPr>
            <w:t>Civile</w:t>
          </w:r>
          <w:proofErr w:type="spellEnd"/>
          <w:r w:rsidR="00595620"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Emergjencat</w:t>
          </w:r>
          <w:proofErr w:type="spellEnd"/>
          <w:r>
            <w:rPr>
              <w:rFonts w:cstheme="minorHAnsi"/>
            </w:rPr>
            <w:t>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Bujqësia</w:t>
          </w:r>
          <w:proofErr w:type="spellEnd"/>
          <w:r>
            <w:rPr>
              <w:rFonts w:cstheme="minorHAnsi"/>
            </w:rPr>
            <w:t xml:space="preserve">, </w:t>
          </w:r>
          <w:proofErr w:type="spellStart"/>
          <w:r>
            <w:rPr>
              <w:rFonts w:cstheme="minorHAnsi"/>
            </w:rPr>
            <w:t>Pylltaria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Zhvillimi</w:t>
          </w:r>
          <w:proofErr w:type="spellEnd"/>
          <w:r>
            <w:rPr>
              <w:rFonts w:cstheme="minorHAnsi"/>
            </w:rPr>
            <w:t xml:space="preserve">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Planifikimi</w:t>
          </w:r>
          <w:proofErr w:type="spellEnd"/>
          <w:r>
            <w:rPr>
              <w:rFonts w:cstheme="minorHAnsi"/>
            </w:rPr>
            <w:t xml:space="preserve">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 xml:space="preserve">Urban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Mjedisi</w:t>
          </w:r>
          <w:proofErr w:type="spellEnd"/>
          <w:r>
            <w:rPr>
              <w:rFonts w:cstheme="minorHAnsi"/>
            </w:rPr>
            <w:t>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Shëndetësia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Mirëqenia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Sociale</w:t>
          </w:r>
          <w:proofErr w:type="spellEnd"/>
          <w:r>
            <w:rPr>
              <w:rFonts w:cstheme="minorHAnsi"/>
            </w:rPr>
            <w:t>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Kulturë,Rini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dhe</w:t>
          </w:r>
          <w:proofErr w:type="spellEnd"/>
          <w:r>
            <w:rPr>
              <w:rFonts w:cstheme="minorHAnsi"/>
            </w:rPr>
            <w:t xml:space="preserve">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Zyra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Lokale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për</w:t>
          </w:r>
          <w:proofErr w:type="spellEnd"/>
          <w:r>
            <w:rPr>
              <w:rFonts w:cstheme="minorHAnsi"/>
            </w:rPr>
            <w:t xml:space="preserve"> </w:t>
          </w:r>
          <w:proofErr w:type="spellStart"/>
          <w:r>
            <w:rPr>
              <w:rFonts w:cstheme="minorHAnsi"/>
            </w:rPr>
            <w:t>Komunitete</w:t>
          </w:r>
          <w:proofErr w:type="spellEnd"/>
          <w:r>
            <w:rPr>
              <w:rFonts w:cstheme="minorHAnsi"/>
            </w:rPr>
            <w:t xml:space="preserve">. </w:t>
          </w:r>
        </w:p>
        <w:p w:rsidR="000D3CEB" w:rsidRDefault="00DC5241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4F1C5A" w:rsidRDefault="004F1C5A">
      <w:pPr>
        <w:rPr>
          <w:b/>
          <w:bCs/>
          <w:lang w:val="sv-SE"/>
        </w:rPr>
      </w:pPr>
    </w:p>
    <w:p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:rsidR="00867FC0" w:rsidRDefault="00315A5E">
      <w:r w:rsidRPr="00315A5E">
        <w:rPr>
          <w:noProof/>
        </w:rPr>
        <w:drawing>
          <wp:inline distT="0" distB="0" distL="0" distR="0">
            <wp:extent cx="6858000" cy="3677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2A" w:rsidRPr="000F484A" w:rsidRDefault="008E2A2A" w:rsidP="000F484A">
      <w:pPr>
        <w:jc w:val="both"/>
        <w:rPr>
          <w:color w:val="000000" w:themeColor="text1"/>
          <w:lang w:val="sq-AL"/>
        </w:rPr>
      </w:pPr>
    </w:p>
    <w:p w:rsidR="000F484A" w:rsidRDefault="000F484A" w:rsidP="000F484A">
      <w:pPr>
        <w:pStyle w:val="NormalWeb"/>
        <w:spacing w:before="58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DD04A3">
        <w:rPr>
          <w:rFonts w:asciiTheme="minorHAnsi" w:eastAsiaTheme="minorEastAsia" w:hAnsi="Calibri" w:cstheme="minorBidi"/>
          <w:color w:val="000000" w:themeColor="text1"/>
          <w:kern w:val="24"/>
        </w:rPr>
        <w:t xml:space="preserve">Buxheti i </w:t>
      </w:r>
      <w:proofErr w:type="spellStart"/>
      <w:r w:rsidR="00DD04A3">
        <w:rPr>
          <w:rFonts w:asciiTheme="minorHAnsi" w:eastAsiaTheme="minorEastAsia" w:hAnsi="Calibri" w:cstheme="minorBidi"/>
          <w:color w:val="000000" w:themeColor="text1"/>
          <w:kern w:val="24"/>
        </w:rPr>
        <w:t>miratuar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Komunës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Kaçanikut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vitin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fiskal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2024,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është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caktuar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sipas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Qarkores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Buxhetore</w:t>
      </w:r>
      <w:proofErr w:type="spellEnd"/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nr.2024/01 me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kufijtë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buxhetor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fillestar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11,958,983.00€.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</w:p>
    <w:p w:rsidR="00DD04A3" w:rsidRDefault="00DD04A3" w:rsidP="000F484A">
      <w:pPr>
        <w:pStyle w:val="NormalWeb"/>
        <w:spacing w:before="58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DD04A3" w:rsidRPr="000F484A" w:rsidRDefault="00DD04A3" w:rsidP="000F484A">
      <w:pPr>
        <w:pStyle w:val="NormalWeb"/>
        <w:spacing w:before="58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Mjetet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pjesërisht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bartura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nga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vitet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paraprake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cilat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janë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shtuar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aktual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janë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ne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867,857.42 euro.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Kështu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shuma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e </w:t>
      </w:r>
      <w:proofErr w:type="spellStart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tanishëm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arritur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DD04A3">
        <w:rPr>
          <w:rFonts w:asciiTheme="minorHAnsi" w:eastAsiaTheme="minorEastAsia" w:hAnsi="Calibri" w:cstheme="minorBidi"/>
          <w:b/>
          <w:color w:val="000000" w:themeColor="text1"/>
          <w:kern w:val="24"/>
        </w:rPr>
        <w:t>12,826,840.42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euro. </w:t>
      </w:r>
    </w:p>
    <w:p w:rsidR="000F484A" w:rsidRDefault="000F484A" w:rsidP="000F484A">
      <w:pPr>
        <w:pStyle w:val="NormalWeb"/>
        <w:spacing w:before="58" w:beforeAutospacing="0" w:after="0" w:afterAutospacing="0"/>
        <w:ind w:left="720"/>
        <w:jc w:val="both"/>
      </w:pPr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Burimet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e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financimit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Komunal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vijnë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nga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:</w:t>
      </w:r>
    </w:p>
    <w:p w:rsidR="000F484A" w:rsidRDefault="000F484A" w:rsidP="000F484A">
      <w:pPr>
        <w:pStyle w:val="NormalWeb"/>
        <w:spacing w:before="58" w:beforeAutospacing="0" w:after="0" w:afterAutospacing="0"/>
      </w:pP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1.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përgjithshëm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…………………………………………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.  5,130,643.00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€</w:t>
      </w: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2.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specifik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arsimit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: ……………………………………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…  4,395,331.00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€</w:t>
      </w: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3.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specifik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për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shëndetësi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:  …………………….……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.  1,508,809.00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€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dhe</w:t>
      </w:r>
      <w:proofErr w:type="spellEnd"/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4.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hyrat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vetanake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……………………………………….……..      924,200.00 €  </w:t>
      </w:r>
    </w:p>
    <w:p w:rsidR="000F484A" w:rsidRDefault="000F484A" w:rsidP="000F484A">
      <w:pPr>
        <w:pStyle w:val="NormalWeb"/>
        <w:spacing w:before="58" w:beforeAutospacing="0" w:after="0" w:afterAutospacing="0"/>
      </w:pPr>
    </w:p>
    <w:p w:rsidR="000F484A" w:rsidRDefault="000F484A" w:rsidP="000F484A">
      <w:pPr>
        <w:pStyle w:val="NormalWeb"/>
        <w:spacing w:before="58" w:beforeAutospacing="0" w:after="0" w:afterAutospacing="0"/>
      </w:pP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Struktura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e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përbërjes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sipas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burimeve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të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financimit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duket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kështu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:</w:t>
      </w:r>
    </w:p>
    <w:p w:rsidR="000F484A" w:rsidRDefault="000F484A" w:rsidP="000F484A">
      <w:pPr>
        <w:pStyle w:val="NormalWeb"/>
        <w:spacing w:before="58" w:beforeAutospacing="0" w:after="0" w:afterAutospacing="0"/>
      </w:pP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Grantet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Qeveritare</w:t>
      </w:r>
      <w:proofErr w:type="spellEnd"/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  ……………………. 11,034,783.00 € 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apo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92.27 % 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total,</w:t>
      </w:r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HVK – </w:t>
      </w: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Projeksionet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: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…………………….    924,200.00 €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apo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7.73 % 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buxhetit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total.</w:t>
      </w:r>
    </w:p>
    <w:p w:rsidR="00063AFB" w:rsidRDefault="00063AFB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063AFB" w:rsidRDefault="00FD1FEC" w:rsidP="00FD1FEC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lastRenderedPageBreak/>
        <w:t>-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Shpenzimi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total per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periudhen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Janar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–</w:t>
      </w:r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Qershorë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2024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është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në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shumë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>prej</w:t>
      </w:r>
      <w:proofErr w:type="spellEnd"/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EE140A">
        <w:rPr>
          <w:rFonts w:asciiTheme="minorHAnsi" w:eastAsiaTheme="minorEastAsia" w:hAnsi="Calibri" w:cstheme="minorBidi"/>
          <w:color w:val="000000" w:themeColor="text1"/>
          <w:kern w:val="24"/>
        </w:rPr>
        <w:t>4,514,500.76</w:t>
      </w:r>
      <w:r w:rsidR="00063AFB">
        <w:rPr>
          <w:rFonts w:asciiTheme="minorHAnsi" w:eastAsiaTheme="minorEastAsia" w:hAnsiTheme="minorHAnsi" w:cstheme="minorHAnsi"/>
          <w:color w:val="000000" w:themeColor="text1"/>
          <w:kern w:val="24"/>
        </w:rPr>
        <w:t>€</w:t>
      </w:r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>apo</w:t>
      </w:r>
      <w:proofErr w:type="spellEnd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35.20% e </w:t>
      </w:r>
      <w:proofErr w:type="spellStart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>planifikimit</w:t>
      </w:r>
      <w:proofErr w:type="spellEnd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>vjetorë</w:t>
      </w:r>
      <w:proofErr w:type="spellEnd"/>
      <w:r w:rsidR="00EE1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2024. </w:t>
      </w:r>
    </w:p>
    <w:p w:rsidR="000F484A" w:rsidRDefault="000F484A" w:rsidP="000F484A">
      <w:pPr>
        <w:rPr>
          <w:b/>
          <w:lang w:val="sq-AL"/>
        </w:rPr>
      </w:pPr>
    </w:p>
    <w:p w:rsidR="000F484A" w:rsidRDefault="000F484A" w:rsidP="008E2A2A">
      <w:pPr>
        <w:jc w:val="center"/>
        <w:rPr>
          <w:b/>
          <w:lang w:val="sq-AL"/>
        </w:rPr>
      </w:pPr>
    </w:p>
    <w:p w:rsidR="006B28B1" w:rsidRPr="00B679BE" w:rsidRDefault="006B28B1" w:rsidP="00D82753">
      <w:pPr>
        <w:rPr>
          <w:noProof/>
        </w:rPr>
      </w:pPr>
    </w:p>
    <w:p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C13" w:rsidRPr="006C5B15" w:rsidRDefault="006C5B15" w:rsidP="006C5B15">
      <w:pPr>
        <w:rPr>
          <w:b/>
          <w:sz w:val="24"/>
          <w:szCs w:val="24"/>
        </w:rPr>
      </w:pPr>
      <w:r w:rsidRPr="00010B41">
        <w:rPr>
          <w:b/>
          <w:sz w:val="28"/>
          <w:szCs w:val="28"/>
        </w:rPr>
        <w:t>II</w:t>
      </w:r>
      <w:proofErr w:type="gramStart"/>
      <w:r w:rsidRPr="00010B41"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 </w:t>
      </w:r>
      <w:proofErr w:type="spellStart"/>
      <w:r w:rsidR="00EE2992">
        <w:rPr>
          <w:b/>
          <w:sz w:val="28"/>
          <w:szCs w:val="28"/>
        </w:rPr>
        <w:t>Raporti</w:t>
      </w:r>
      <w:proofErr w:type="spellEnd"/>
      <w:proofErr w:type="gramEnd"/>
      <w:r w:rsidR="00EE2992">
        <w:rPr>
          <w:b/>
          <w:sz w:val="28"/>
          <w:szCs w:val="28"/>
        </w:rPr>
        <w:t xml:space="preserve"> i</w:t>
      </w:r>
      <w:r w:rsidRPr="00010B41">
        <w:rPr>
          <w:b/>
          <w:sz w:val="28"/>
          <w:szCs w:val="28"/>
        </w:rPr>
        <w:t xml:space="preserve"> </w:t>
      </w:r>
      <w:proofErr w:type="spellStart"/>
      <w:r w:rsidRPr="00010B41">
        <w:rPr>
          <w:b/>
          <w:sz w:val="28"/>
          <w:szCs w:val="28"/>
        </w:rPr>
        <w:t>inkasimit</w:t>
      </w:r>
      <w:proofErr w:type="spellEnd"/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</w:t>
      </w:r>
      <w:proofErr w:type="spellStart"/>
      <w:r w:rsidRPr="00010B41">
        <w:rPr>
          <w:b/>
          <w:sz w:val="28"/>
          <w:szCs w:val="28"/>
        </w:rPr>
        <w:t>të</w:t>
      </w:r>
      <w:proofErr w:type="spellEnd"/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</w:t>
      </w:r>
      <w:proofErr w:type="spellStart"/>
      <w:r w:rsidRPr="00010B41">
        <w:rPr>
          <w:b/>
          <w:sz w:val="28"/>
          <w:szCs w:val="28"/>
        </w:rPr>
        <w:t>të</w:t>
      </w:r>
      <w:proofErr w:type="spellEnd"/>
      <w:r w:rsidRPr="00010B41">
        <w:rPr>
          <w:b/>
          <w:sz w:val="28"/>
          <w:szCs w:val="28"/>
        </w:rPr>
        <w:t xml:space="preserve"> </w:t>
      </w:r>
      <w:proofErr w:type="spellStart"/>
      <w:r w:rsidRPr="00010B41">
        <w:rPr>
          <w:b/>
          <w:sz w:val="28"/>
          <w:szCs w:val="28"/>
        </w:rPr>
        <w:t>hyrave</w:t>
      </w:r>
      <w:proofErr w:type="spellEnd"/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</w:t>
      </w:r>
      <w:proofErr w:type="spellStart"/>
      <w:r w:rsidRPr="00010B41">
        <w:rPr>
          <w:b/>
          <w:sz w:val="28"/>
          <w:szCs w:val="28"/>
        </w:rPr>
        <w:t>vetanake</w:t>
      </w:r>
      <w:proofErr w:type="spellEnd"/>
      <w:r w:rsidR="003D1C13" w:rsidRPr="00010B41">
        <w:rPr>
          <w:b/>
          <w:sz w:val="28"/>
          <w:szCs w:val="28"/>
        </w:rPr>
        <w:t>:</w:t>
      </w:r>
    </w:p>
    <w:p w:rsidR="003D1C13" w:rsidRDefault="003D1C13" w:rsidP="003D1C13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1"/>
          <w:szCs w:val="21"/>
        </w:rPr>
      </w:pPr>
    </w:p>
    <w:p w:rsidR="003D1C13" w:rsidRDefault="00183331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hyrat</w:t>
      </w:r>
      <w:proofErr w:type="spellEnd"/>
      <w:r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vetana</w:t>
      </w:r>
      <w:r w:rsidR="00E10B1F">
        <w:rPr>
          <w:rFonts w:cstheme="minorHAnsi"/>
        </w:rPr>
        <w:t>ke</w:t>
      </w:r>
      <w:proofErr w:type="spellEnd"/>
      <w:r w:rsidR="00E10B1F">
        <w:rPr>
          <w:rFonts w:cstheme="minorHAnsi"/>
        </w:rPr>
        <w:t xml:space="preserve"> </w:t>
      </w:r>
      <w:proofErr w:type="spellStart"/>
      <w:r w:rsidR="006B28B1" w:rsidRPr="00BF0C67">
        <w:rPr>
          <w:rFonts w:cstheme="minorHAnsi"/>
          <w:b/>
        </w:rPr>
        <w:t>direkte</w:t>
      </w:r>
      <w:proofErr w:type="spellEnd"/>
      <w:r w:rsidR="006B28B1">
        <w:rPr>
          <w:rFonts w:cstheme="minorHAnsi"/>
        </w:rPr>
        <w:t xml:space="preserve"> </w:t>
      </w:r>
      <w:proofErr w:type="spellStart"/>
      <w:r w:rsidR="00E10B1F">
        <w:rPr>
          <w:rFonts w:cstheme="minorHAnsi"/>
        </w:rPr>
        <w:t>të</w:t>
      </w:r>
      <w:proofErr w:type="spellEnd"/>
      <w:r w:rsidR="00E10B1F">
        <w:rPr>
          <w:rFonts w:cstheme="minorHAnsi"/>
        </w:rPr>
        <w:t xml:space="preserve"> </w:t>
      </w:r>
      <w:proofErr w:type="spellStart"/>
      <w:r w:rsidR="00E10B1F">
        <w:rPr>
          <w:rFonts w:cstheme="minorHAnsi"/>
        </w:rPr>
        <w:t>grumbulluara</w:t>
      </w:r>
      <w:proofErr w:type="spellEnd"/>
      <w:r w:rsidR="00E10B1F">
        <w:rPr>
          <w:rFonts w:cstheme="minorHAnsi"/>
        </w:rPr>
        <w:t xml:space="preserve"> </w:t>
      </w:r>
      <w:proofErr w:type="spellStart"/>
      <w:proofErr w:type="gramStart"/>
      <w:r w:rsidR="00E10B1F">
        <w:rPr>
          <w:rFonts w:cstheme="minorHAnsi"/>
        </w:rPr>
        <w:t>gjatë</w:t>
      </w:r>
      <w:proofErr w:type="spellEnd"/>
      <w:r w:rsidR="00E10B1F">
        <w:rPr>
          <w:rFonts w:cstheme="minorHAnsi"/>
        </w:rPr>
        <w:t xml:space="preserve">  </w:t>
      </w:r>
      <w:proofErr w:type="spellStart"/>
      <w:r w:rsidR="00E10B1F">
        <w:rPr>
          <w:rFonts w:cstheme="minorHAnsi"/>
        </w:rPr>
        <w:t>periudhës</w:t>
      </w:r>
      <w:proofErr w:type="spellEnd"/>
      <w:proofErr w:type="gramEnd"/>
      <w:r w:rsidR="00E10B1F">
        <w:rPr>
          <w:rFonts w:cstheme="minorHAnsi"/>
        </w:rPr>
        <w:t xml:space="preserve">  </w:t>
      </w:r>
      <w:proofErr w:type="spellStart"/>
      <w:r w:rsidR="00E10B1F">
        <w:rPr>
          <w:rFonts w:cstheme="minorHAnsi"/>
        </w:rPr>
        <w:t>raportuese</w:t>
      </w:r>
      <w:proofErr w:type="spellEnd"/>
      <w:r w:rsidR="00E10B1F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kanë</w:t>
      </w:r>
      <w:proofErr w:type="spellEnd"/>
      <w:r w:rsidR="003D1C13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ar</w:t>
      </w:r>
      <w:r w:rsidR="00381E8D">
        <w:rPr>
          <w:rFonts w:cstheme="minorHAnsi"/>
        </w:rPr>
        <w:t>ritur</w:t>
      </w:r>
      <w:proofErr w:type="spellEnd"/>
      <w:r w:rsidR="00381E8D">
        <w:rPr>
          <w:rFonts w:cstheme="minorHAnsi"/>
        </w:rPr>
        <w:t xml:space="preserve"> </w:t>
      </w:r>
      <w:proofErr w:type="spellStart"/>
      <w:r w:rsidR="00381E8D">
        <w:rPr>
          <w:rFonts w:cstheme="minorHAnsi"/>
        </w:rPr>
        <w:t>lartësinë</w:t>
      </w:r>
      <w:proofErr w:type="spellEnd"/>
      <w:r w:rsidR="00381E8D">
        <w:rPr>
          <w:rFonts w:cstheme="minorHAnsi"/>
        </w:rPr>
        <w:t xml:space="preserve"> e </w:t>
      </w:r>
      <w:proofErr w:type="spellStart"/>
      <w:r w:rsidR="00381E8D">
        <w:rPr>
          <w:rFonts w:cstheme="minorHAnsi"/>
        </w:rPr>
        <w:t>realizimit</w:t>
      </w:r>
      <w:proofErr w:type="spellEnd"/>
      <w:r w:rsidR="00E10B1F">
        <w:rPr>
          <w:rFonts w:cstheme="minorHAnsi"/>
        </w:rPr>
        <w:t xml:space="preserve"> </w:t>
      </w:r>
      <w:proofErr w:type="spellStart"/>
      <w:r w:rsidR="00E10B1F">
        <w:rPr>
          <w:rFonts w:cstheme="minorHAnsi"/>
        </w:rPr>
        <w:t>prej</w:t>
      </w:r>
      <w:proofErr w:type="spellEnd"/>
      <w:r w:rsidR="004C6806">
        <w:rPr>
          <w:rFonts w:cstheme="minorHAnsi"/>
        </w:rPr>
        <w:t xml:space="preserve"> </w:t>
      </w:r>
      <w:r>
        <w:rPr>
          <w:rFonts w:cstheme="minorHAnsi"/>
          <w:b/>
        </w:rPr>
        <w:t>351,713.65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që</w:t>
      </w:r>
      <w:proofErr w:type="spellEnd"/>
      <w:r w:rsidR="003D1C13" w:rsidRPr="003D1C13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përbë</w:t>
      </w:r>
      <w:r w:rsidR="00E10B1F"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 w:rsidR="00E10B1F">
        <w:rPr>
          <w:rFonts w:cstheme="minorHAnsi"/>
        </w:rPr>
        <w:t>ë</w:t>
      </w:r>
      <w:proofErr w:type="spellEnd"/>
      <w:r w:rsidR="003D1C13" w:rsidRPr="003D1C13">
        <w:rPr>
          <w:rFonts w:cstheme="minorHAnsi"/>
        </w:rPr>
        <w:t xml:space="preserve"> </w:t>
      </w:r>
      <w:r>
        <w:rPr>
          <w:rFonts w:cstheme="minorHAnsi"/>
          <w:b/>
        </w:rPr>
        <w:t>38.06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proofErr w:type="spellStart"/>
      <w:r w:rsidR="00E10B1F">
        <w:rPr>
          <w:rFonts w:cstheme="minorHAnsi"/>
        </w:rPr>
        <w:t>të</w:t>
      </w:r>
      <w:proofErr w:type="spellEnd"/>
      <w:r w:rsidR="00E10B1F">
        <w:rPr>
          <w:rFonts w:cstheme="minorHAnsi"/>
        </w:rPr>
        <w:t xml:space="preserve"> </w:t>
      </w:r>
      <w:proofErr w:type="spellStart"/>
      <w:r w:rsidR="00E10B1F">
        <w:rPr>
          <w:rFonts w:cstheme="minorHAnsi"/>
        </w:rPr>
        <w:t>planifikimit</w:t>
      </w:r>
      <w:proofErr w:type="spellEnd"/>
      <w:r w:rsidR="00491108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të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gjithëmbarshëm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vjetorë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në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shumë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prej</w:t>
      </w:r>
      <w:proofErr w:type="spellEnd"/>
      <w:r w:rsidR="004C6806">
        <w:rPr>
          <w:rFonts w:cstheme="minorHAnsi"/>
        </w:rPr>
        <w:t xml:space="preserve"> </w:t>
      </w:r>
      <w:r w:rsidR="00B679BE">
        <w:rPr>
          <w:rFonts w:cstheme="minorHAnsi"/>
          <w:b/>
        </w:rPr>
        <w:t>924,200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  <w:proofErr w:type="spellStart"/>
      <w:r w:rsidR="00172284">
        <w:rPr>
          <w:rFonts w:cstheme="minorHAnsi"/>
        </w:rPr>
        <w:t>Këto</w:t>
      </w:r>
      <w:proofErr w:type="spellEnd"/>
      <w:r w:rsidR="00172284">
        <w:rPr>
          <w:rFonts w:cstheme="minorHAnsi"/>
        </w:rPr>
        <w:t xml:space="preserve"> </w:t>
      </w:r>
      <w:proofErr w:type="spellStart"/>
      <w:r w:rsidR="00172284">
        <w:rPr>
          <w:rFonts w:cstheme="minorHAnsi"/>
        </w:rPr>
        <w:t>të</w:t>
      </w:r>
      <w:proofErr w:type="spellEnd"/>
      <w:r w:rsidR="00172284">
        <w:rPr>
          <w:rFonts w:cstheme="minorHAnsi"/>
        </w:rPr>
        <w:t xml:space="preserve"> </w:t>
      </w:r>
      <w:proofErr w:type="spellStart"/>
      <w:r w:rsidR="00172284">
        <w:rPr>
          <w:rFonts w:cstheme="minorHAnsi"/>
        </w:rPr>
        <w:t>hyra</w:t>
      </w:r>
      <w:proofErr w:type="spellEnd"/>
      <w:r w:rsidR="00172284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për</w:t>
      </w:r>
      <w:proofErr w:type="spellEnd"/>
      <w:r w:rsidR="003D1C13" w:rsidRPr="003D1C13">
        <w:rPr>
          <w:rFonts w:cstheme="minorHAnsi"/>
        </w:rPr>
        <w:t xml:space="preserve"> </w:t>
      </w:r>
      <w:proofErr w:type="spellStart"/>
      <w:proofErr w:type="gramStart"/>
      <w:r w:rsidR="003D1C13" w:rsidRPr="003D1C13">
        <w:rPr>
          <w:rFonts w:cstheme="minorHAnsi"/>
        </w:rPr>
        <w:t>periudhën</w:t>
      </w:r>
      <w:proofErr w:type="spellEnd"/>
      <w:r w:rsidR="003D1C13" w:rsidRPr="003D1C13">
        <w:rPr>
          <w:rFonts w:cstheme="minorHAnsi"/>
        </w:rPr>
        <w:t xml:space="preserve"> </w:t>
      </w:r>
      <w:r w:rsidR="00172284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Janar</w:t>
      </w:r>
      <w:proofErr w:type="gramEnd"/>
      <w:r w:rsidR="003D1C13" w:rsidRPr="003D1C13">
        <w:rPr>
          <w:rFonts w:cstheme="minorHAnsi"/>
        </w:rPr>
        <w:t>-</w:t>
      </w:r>
      <w:r w:rsidR="00E4568E">
        <w:rPr>
          <w:rFonts w:cstheme="minorHAnsi"/>
        </w:rPr>
        <w:t>Qershor</w:t>
      </w:r>
      <w:proofErr w:type="spellEnd"/>
      <w:r w:rsidR="006B28B1">
        <w:rPr>
          <w:rFonts w:cstheme="minorHAnsi"/>
        </w:rPr>
        <w:t xml:space="preserve"> 202</w:t>
      </w:r>
      <w:r w:rsidR="00472780">
        <w:rPr>
          <w:rFonts w:cstheme="minorHAnsi"/>
        </w:rPr>
        <w:t>4</w:t>
      </w:r>
      <w:r w:rsidR="00172284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janë</w:t>
      </w:r>
      <w:proofErr w:type="spellEnd"/>
      <w:r w:rsidR="003D1C13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krijuar</w:t>
      </w:r>
      <w:proofErr w:type="spellEnd"/>
      <w:r w:rsidR="003D1C13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sipas</w:t>
      </w:r>
      <w:proofErr w:type="spellEnd"/>
      <w:r w:rsidR="003D1C13">
        <w:rPr>
          <w:rFonts w:cstheme="minorHAnsi"/>
        </w:rPr>
        <w:t xml:space="preserve">  </w:t>
      </w:r>
      <w:proofErr w:type="spellStart"/>
      <w:r w:rsidR="003D1C13">
        <w:rPr>
          <w:rFonts w:cstheme="minorHAnsi"/>
        </w:rPr>
        <w:t>burimeve</w:t>
      </w:r>
      <w:proofErr w:type="spellEnd"/>
      <w:r w:rsidR="003D1C13">
        <w:rPr>
          <w:rFonts w:cstheme="minorHAnsi"/>
        </w:rPr>
        <w:t xml:space="preserve"> </w:t>
      </w:r>
      <w:proofErr w:type="spellStart"/>
      <w:r w:rsidR="003D1C13">
        <w:rPr>
          <w:rFonts w:cstheme="minorHAnsi"/>
        </w:rPr>
        <w:t>të</w:t>
      </w:r>
      <w:proofErr w:type="spellEnd"/>
      <w:r w:rsidR="003D1C13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identifikuara</w:t>
      </w:r>
      <w:proofErr w:type="spellEnd"/>
      <w:r w:rsidR="003D1C13" w:rsidRPr="003D1C13">
        <w:rPr>
          <w:rFonts w:cstheme="minorHAnsi"/>
        </w:rPr>
        <w:t xml:space="preserve"> </w:t>
      </w:r>
      <w:proofErr w:type="spellStart"/>
      <w:r w:rsidR="003D1C13" w:rsidRPr="003D1C13">
        <w:rPr>
          <w:rFonts w:cstheme="minorHAnsi"/>
        </w:rPr>
        <w:t>n</w:t>
      </w:r>
      <w:r w:rsidR="000C4D24">
        <w:rPr>
          <w:rFonts w:cstheme="minorHAnsi"/>
        </w:rPr>
        <w:t>ga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të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gjitha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Drejtoritë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bazuar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në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planifikimet</w:t>
      </w:r>
      <w:proofErr w:type="spellEnd"/>
      <w:r w:rsidR="000C4D24">
        <w:rPr>
          <w:rFonts w:cstheme="minorHAnsi"/>
        </w:rPr>
        <w:t xml:space="preserve"> </w:t>
      </w:r>
      <w:proofErr w:type="spellStart"/>
      <w:r w:rsidR="000C4D24">
        <w:rPr>
          <w:rFonts w:cstheme="minorHAnsi"/>
        </w:rPr>
        <w:t>vjetore</w:t>
      </w:r>
      <w:proofErr w:type="spellEnd"/>
      <w:r w:rsidR="0093315E">
        <w:rPr>
          <w:rFonts w:cstheme="minorHAnsi"/>
        </w:rPr>
        <w:t>.</w:t>
      </w:r>
    </w:p>
    <w:p w:rsidR="00771519" w:rsidRDefault="00771519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907C18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907C18">
        <w:rPr>
          <w:rFonts w:cstheme="minorHAnsi"/>
        </w:rPr>
        <w:t>Nga</w:t>
      </w:r>
      <w:proofErr w:type="spellEnd"/>
      <w:r w:rsidRPr="00907C18">
        <w:rPr>
          <w:rFonts w:cstheme="minorHAnsi"/>
        </w:rPr>
        <w:t xml:space="preserve"> </w:t>
      </w:r>
      <w:proofErr w:type="spellStart"/>
      <w:r w:rsidR="000D43BB">
        <w:rPr>
          <w:rFonts w:cstheme="minorHAnsi"/>
        </w:rPr>
        <w:t>Drejtoria</w:t>
      </w:r>
      <w:proofErr w:type="spellEnd"/>
      <w:r w:rsidR="000D43BB">
        <w:rPr>
          <w:rFonts w:cstheme="minorHAnsi"/>
        </w:rPr>
        <w:t xml:space="preserve"> e </w:t>
      </w:r>
      <w:proofErr w:type="spellStart"/>
      <w:r w:rsidR="000D43BB">
        <w:rPr>
          <w:rFonts w:cstheme="minorHAnsi"/>
        </w:rPr>
        <w:t>Buxhetit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="000D43BB">
        <w:rPr>
          <w:rFonts w:cstheme="minorHAnsi"/>
        </w:rPr>
        <w:t>dhe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="000D43BB">
        <w:rPr>
          <w:rFonts w:cstheme="minorHAnsi"/>
        </w:rPr>
        <w:t>Financave</w:t>
      </w:r>
      <w:proofErr w:type="spellEnd"/>
      <w:r w:rsidR="000D43BB">
        <w:rPr>
          <w:rFonts w:cstheme="minorHAnsi"/>
        </w:rPr>
        <w:t xml:space="preserve"> </w:t>
      </w:r>
      <w:proofErr w:type="spellStart"/>
      <w:r w:rsidRPr="00907C18">
        <w:rPr>
          <w:rFonts w:cstheme="minorHAnsi"/>
        </w:rPr>
        <w:t>janë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grumbulluar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gjithsej</w:t>
      </w:r>
      <w:proofErr w:type="spellEnd"/>
      <w:r w:rsidR="004C6806">
        <w:rPr>
          <w:rFonts w:cstheme="minorHAnsi"/>
        </w:rPr>
        <w:t xml:space="preserve">: </w:t>
      </w:r>
      <w:r w:rsidR="000B27D3">
        <w:rPr>
          <w:rFonts w:cstheme="minorHAnsi"/>
          <w:b/>
        </w:rPr>
        <w:t>193,450.36</w:t>
      </w:r>
      <w:r w:rsidR="00976288" w:rsidRPr="004C6806">
        <w:rPr>
          <w:rFonts w:cstheme="minorHAnsi"/>
          <w:b/>
        </w:rPr>
        <w:t>€</w:t>
      </w:r>
      <w:r w:rsidR="004160C0" w:rsidRPr="00907C18">
        <w:rPr>
          <w:rFonts w:cstheme="minorHAnsi"/>
        </w:rPr>
        <w:t xml:space="preserve"> </w:t>
      </w:r>
      <w:proofErr w:type="spellStart"/>
      <w:r w:rsidR="004160C0" w:rsidRPr="00907C18">
        <w:rPr>
          <w:rFonts w:cstheme="minorHAnsi"/>
        </w:rPr>
        <w:t>apo</w:t>
      </w:r>
      <w:proofErr w:type="spellEnd"/>
      <w:r w:rsidR="004C6806">
        <w:rPr>
          <w:rFonts w:cstheme="minorHAnsi"/>
        </w:rPr>
        <w:t xml:space="preserve"> </w:t>
      </w:r>
      <w:r w:rsidR="00034E73">
        <w:rPr>
          <w:rFonts w:cstheme="minorHAnsi"/>
          <w:b/>
        </w:rPr>
        <w:t>55</w:t>
      </w:r>
      <w:proofErr w:type="gramStart"/>
      <w:r w:rsidR="004160C0" w:rsidRPr="004C6806">
        <w:rPr>
          <w:rFonts w:cstheme="minorHAnsi"/>
          <w:b/>
        </w:rPr>
        <w:t>%</w:t>
      </w:r>
      <w:r w:rsidR="004160C0" w:rsidRPr="00907C18">
        <w:rPr>
          <w:rFonts w:cstheme="minorHAnsi"/>
        </w:rPr>
        <w:t xml:space="preserve"> </w:t>
      </w:r>
      <w:r w:rsidR="006D1DC9">
        <w:rPr>
          <w:rFonts w:cstheme="minorHAnsi"/>
        </w:rPr>
        <w:t xml:space="preserve"> </w:t>
      </w:r>
      <w:r w:rsidR="004160C0" w:rsidRPr="00907C18">
        <w:rPr>
          <w:rFonts w:cstheme="minorHAnsi"/>
        </w:rPr>
        <w:t>e</w:t>
      </w:r>
      <w:proofErr w:type="gramEnd"/>
      <w:r w:rsidR="004160C0" w:rsidRPr="00907C18">
        <w:rPr>
          <w:rFonts w:cstheme="minorHAnsi"/>
        </w:rPr>
        <w:t xml:space="preserve"> </w:t>
      </w:r>
      <w:proofErr w:type="spellStart"/>
      <w:r w:rsidR="004160C0" w:rsidRPr="00907C18">
        <w:rPr>
          <w:rFonts w:cstheme="minorHAnsi"/>
        </w:rPr>
        <w:t>totali</w:t>
      </w:r>
      <w:r w:rsidR="00341A61" w:rsidRPr="00907C18">
        <w:rPr>
          <w:rFonts w:cstheme="minorHAnsi"/>
        </w:rPr>
        <w:t>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të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inkasimit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nga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të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hyrat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direkte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komunale</w:t>
      </w:r>
      <w:proofErr w:type="spellEnd"/>
      <w:r>
        <w:rPr>
          <w:rFonts w:cstheme="minorHAnsi"/>
        </w:rPr>
        <w:t>.</w:t>
      </w:r>
      <w:r w:rsidR="004C6806">
        <w:rPr>
          <w:rFonts w:cstheme="minorHAnsi"/>
        </w:rPr>
        <w:t xml:space="preserve"> </w:t>
      </w:r>
    </w:p>
    <w:p w:rsidR="00907C18" w:rsidRPr="00907C18" w:rsidRDefault="00907C18" w:rsidP="00907C1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825D9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Nga</w:t>
      </w:r>
      <w:proofErr w:type="spellEnd"/>
      <w:r>
        <w:rPr>
          <w:rFonts w:cstheme="minorHAnsi"/>
        </w:rPr>
        <w:t xml:space="preserve">  </w:t>
      </w:r>
      <w:proofErr w:type="spellStart"/>
      <w:r w:rsidR="00341A61" w:rsidRPr="00907C18">
        <w:rPr>
          <w:rFonts w:cstheme="minorHAnsi"/>
        </w:rPr>
        <w:t>Drejtoria</w:t>
      </w:r>
      <w:proofErr w:type="spellEnd"/>
      <w:proofErr w:type="gramEnd"/>
      <w:r w:rsidR="00341A61" w:rsidRPr="00907C18">
        <w:rPr>
          <w:rFonts w:cstheme="minorHAnsi"/>
        </w:rPr>
        <w:t xml:space="preserve"> e </w:t>
      </w:r>
      <w:proofErr w:type="spellStart"/>
      <w:r w:rsidR="00341A61" w:rsidRPr="00907C18">
        <w:rPr>
          <w:rFonts w:cstheme="minorHAnsi"/>
        </w:rPr>
        <w:t>Urbanizmit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dhe</w:t>
      </w:r>
      <w:proofErr w:type="spellEnd"/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Kadastrit</w:t>
      </w:r>
      <w:proofErr w:type="spellEnd"/>
      <w:r w:rsidR="00341A61" w:rsidRPr="00907C18">
        <w:rPr>
          <w:rFonts w:cstheme="minorHAnsi"/>
        </w:rPr>
        <w:t xml:space="preserve"> </w:t>
      </w:r>
      <w:r w:rsidR="004160C0" w:rsidRPr="00907C18">
        <w:rPr>
          <w:rFonts w:cstheme="minorHAnsi"/>
        </w:rPr>
        <w:t xml:space="preserve"> </w:t>
      </w:r>
      <w:proofErr w:type="spellStart"/>
      <w:r w:rsidR="00D9662A">
        <w:rPr>
          <w:rFonts w:cstheme="minorHAnsi"/>
        </w:rPr>
        <w:t>janë</w:t>
      </w:r>
      <w:proofErr w:type="spellEnd"/>
      <w:r w:rsidR="00D9662A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grumb</w:t>
      </w:r>
      <w:r w:rsidR="00D9662A">
        <w:rPr>
          <w:rFonts w:cstheme="minorHAnsi"/>
        </w:rPr>
        <w:t>ulluar</w:t>
      </w:r>
      <w:proofErr w:type="spellEnd"/>
      <w:r w:rsidR="00D9662A">
        <w:rPr>
          <w:rFonts w:cstheme="minorHAnsi"/>
        </w:rPr>
        <w:t xml:space="preserve"> </w:t>
      </w:r>
      <w:proofErr w:type="spellStart"/>
      <w:r w:rsidR="00D9662A">
        <w:rPr>
          <w:rFonts w:cstheme="minorHAnsi"/>
        </w:rPr>
        <w:t>gjithesej</w:t>
      </w:r>
      <w:proofErr w:type="spellEnd"/>
      <w:r w:rsidR="004C6806">
        <w:rPr>
          <w:rFonts w:cstheme="minorHAnsi"/>
        </w:rPr>
        <w:t xml:space="preserve">  </w:t>
      </w:r>
      <w:proofErr w:type="spellStart"/>
      <w:r w:rsidR="004C6806">
        <w:rPr>
          <w:rFonts w:cstheme="minorHAnsi"/>
        </w:rPr>
        <w:t>mjete</w:t>
      </w:r>
      <w:proofErr w:type="spellEnd"/>
      <w:r w:rsidR="004C6806">
        <w:rPr>
          <w:rFonts w:cstheme="minorHAnsi"/>
        </w:rPr>
        <w:t xml:space="preserve"> ne </w:t>
      </w:r>
      <w:proofErr w:type="spellStart"/>
      <w:r w:rsidR="004C6806">
        <w:rPr>
          <w:rFonts w:cstheme="minorHAnsi"/>
        </w:rPr>
        <w:t>shumë</w:t>
      </w:r>
      <w:proofErr w:type="spellEnd"/>
      <w:r w:rsidR="004C6806">
        <w:rPr>
          <w:rFonts w:cstheme="minorHAnsi"/>
        </w:rPr>
        <w:t xml:space="preserve"> </w:t>
      </w:r>
      <w:proofErr w:type="spellStart"/>
      <w:r w:rsidR="004C6806">
        <w:rPr>
          <w:rFonts w:cstheme="minorHAnsi"/>
        </w:rPr>
        <w:t>prej</w:t>
      </w:r>
      <w:proofErr w:type="spellEnd"/>
      <w:r w:rsidR="004C6806">
        <w:rPr>
          <w:rFonts w:cstheme="minorHAnsi"/>
        </w:rPr>
        <w:t xml:space="preserve">: </w:t>
      </w:r>
      <w:r w:rsidR="000B27D3">
        <w:rPr>
          <w:rFonts w:cstheme="minorHAnsi"/>
          <w:b/>
        </w:rPr>
        <w:t>82,337.91</w:t>
      </w:r>
      <w:r w:rsidR="00341A61" w:rsidRPr="004C6806">
        <w:rPr>
          <w:rFonts w:cstheme="minorHAnsi"/>
          <w:b/>
        </w:rPr>
        <w:t>€</w:t>
      </w:r>
      <w:r w:rsidR="00341A61" w:rsidRPr="00907C18">
        <w:rPr>
          <w:rFonts w:cstheme="minorHAnsi"/>
        </w:rPr>
        <w:t xml:space="preserve"> </w:t>
      </w:r>
      <w:proofErr w:type="spellStart"/>
      <w:r w:rsidR="00341A61" w:rsidRPr="00907C18">
        <w:rPr>
          <w:rFonts w:cstheme="minorHAnsi"/>
        </w:rPr>
        <w:t>apo</w:t>
      </w:r>
      <w:proofErr w:type="spellEnd"/>
      <w:r w:rsidR="00454F59">
        <w:rPr>
          <w:rFonts w:cstheme="minorHAnsi"/>
        </w:rPr>
        <w:t xml:space="preserve"> </w:t>
      </w:r>
      <w:r w:rsidR="000B27D3">
        <w:rPr>
          <w:rFonts w:cstheme="minorHAnsi"/>
          <w:b/>
        </w:rPr>
        <w:t>23.41</w:t>
      </w:r>
      <w:r w:rsidR="00EE5506" w:rsidRPr="00454F59">
        <w:rPr>
          <w:rFonts w:cstheme="minorHAnsi"/>
          <w:b/>
        </w:rPr>
        <w:t>%</w:t>
      </w:r>
      <w:r w:rsidR="00EE5506" w:rsidRPr="00907C18">
        <w:rPr>
          <w:rFonts w:cstheme="minorHAnsi"/>
        </w:rPr>
        <w:t xml:space="preserve"> e </w:t>
      </w:r>
      <w:proofErr w:type="spellStart"/>
      <w:r w:rsidR="00EE5506" w:rsidRPr="00907C18">
        <w:rPr>
          <w:rFonts w:cstheme="minorHAnsi"/>
        </w:rPr>
        <w:t>totalit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të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inkasimit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nga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të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hyrat</w:t>
      </w:r>
      <w:proofErr w:type="spellEnd"/>
      <w:r w:rsidR="00EE5506" w:rsidRPr="00907C18">
        <w:rPr>
          <w:rFonts w:cstheme="minorHAnsi"/>
        </w:rPr>
        <w:t xml:space="preserve"> </w:t>
      </w:r>
      <w:proofErr w:type="spellStart"/>
      <w:r w:rsidR="00EE5506" w:rsidRPr="00907C18">
        <w:rPr>
          <w:rFonts w:cstheme="minorHAnsi"/>
        </w:rPr>
        <w:t>direkte</w:t>
      </w:r>
      <w:proofErr w:type="spellEnd"/>
      <w:r w:rsidR="00341A61" w:rsidRPr="00907C18">
        <w:rPr>
          <w:rFonts w:cstheme="minorHAnsi"/>
        </w:rPr>
        <w:t xml:space="preserve"> </w:t>
      </w:r>
      <w:r w:rsidR="000C21B9">
        <w:rPr>
          <w:rFonts w:cstheme="minorHAnsi"/>
        </w:rPr>
        <w:t xml:space="preserve"> </w:t>
      </w:r>
      <w:proofErr w:type="spellStart"/>
      <w:r w:rsidR="000C21B9">
        <w:rPr>
          <w:rFonts w:cstheme="minorHAnsi"/>
        </w:rPr>
        <w:t>komunale</w:t>
      </w:r>
      <w:proofErr w:type="spellEnd"/>
      <w:r w:rsidR="000C21B9">
        <w:rPr>
          <w:rFonts w:cstheme="minorHAnsi"/>
        </w:rPr>
        <w:t xml:space="preserve">. </w:t>
      </w:r>
    </w:p>
    <w:p w:rsidR="000C21B9" w:rsidRPr="000C21B9" w:rsidRDefault="000C21B9" w:rsidP="000C21B9">
      <w:pPr>
        <w:pStyle w:val="ListParagraph"/>
        <w:rPr>
          <w:rFonts w:cstheme="minorHAnsi"/>
        </w:rPr>
      </w:pPr>
    </w:p>
    <w:p w:rsidR="004B61D6" w:rsidRDefault="002E1583" w:rsidP="004B61D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proofErr w:type="gram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tjetër</w:t>
      </w:r>
      <w:proofErr w:type="spellEnd"/>
      <w:r w:rsidRPr="00EC76E0">
        <w:rPr>
          <w:rFonts w:cstheme="minorHAnsi"/>
        </w:rPr>
        <w:t xml:space="preserve"> e </w:t>
      </w:r>
      <w:proofErr w:type="spellStart"/>
      <w:r w:rsidRPr="00EC76E0">
        <w:rPr>
          <w:rFonts w:cstheme="minorHAnsi"/>
        </w:rPr>
        <w:t>grumbullimit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të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mjeteve</w:t>
      </w:r>
      <w:proofErr w:type="spellEnd"/>
      <w:r w:rsidRPr="00EC76E0">
        <w:rPr>
          <w:rFonts w:cstheme="minorHAnsi"/>
        </w:rPr>
        <w:t xml:space="preserve"> , </w:t>
      </w:r>
      <w:proofErr w:type="spellStart"/>
      <w:r w:rsidR="004F375F" w:rsidRPr="00EC76E0">
        <w:rPr>
          <w:rFonts w:cstheme="minorHAnsi"/>
        </w:rPr>
        <w:t>është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4F375F" w:rsidRPr="00EC76E0">
        <w:rPr>
          <w:rFonts w:cstheme="minorHAnsi"/>
        </w:rPr>
        <w:t>realizuar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4F375F" w:rsidRPr="00EC76E0">
        <w:rPr>
          <w:rFonts w:cstheme="minorHAnsi"/>
        </w:rPr>
        <w:t>nga</w:t>
      </w:r>
      <w:proofErr w:type="spellEnd"/>
      <w:r w:rsidR="004F375F" w:rsidRPr="00EC76E0">
        <w:rPr>
          <w:rFonts w:cstheme="minorHAnsi"/>
        </w:rPr>
        <w:t xml:space="preserve">  </w:t>
      </w:r>
      <w:proofErr w:type="spellStart"/>
      <w:r w:rsidR="004F375F" w:rsidRPr="00EC76E0">
        <w:rPr>
          <w:rFonts w:cstheme="minorHAnsi"/>
        </w:rPr>
        <w:t>këto</w:t>
      </w:r>
      <w:proofErr w:type="spellEnd"/>
      <w:r w:rsidR="004F375F" w:rsidRPr="00EC76E0">
        <w:rPr>
          <w:rFonts w:cstheme="minorHAnsi"/>
        </w:rPr>
        <w:t xml:space="preserve"> </w:t>
      </w:r>
      <w:proofErr w:type="spellStart"/>
      <w:r w:rsidR="00592916" w:rsidRPr="00EC76E0">
        <w:rPr>
          <w:rFonts w:cstheme="minorHAnsi"/>
        </w:rPr>
        <w:t>pesë</w:t>
      </w:r>
      <w:proofErr w:type="spellEnd"/>
      <w:r w:rsidR="004F375F" w:rsidRPr="00EC76E0">
        <w:rPr>
          <w:rFonts w:cstheme="minorHAnsi"/>
        </w:rPr>
        <w:t xml:space="preserve"> (</w:t>
      </w:r>
      <w:r w:rsidR="009916E4" w:rsidRPr="000B2699">
        <w:rPr>
          <w:rFonts w:cstheme="minorHAnsi"/>
          <w:color w:val="000000" w:themeColor="text1"/>
        </w:rPr>
        <w:t>6</w:t>
      </w:r>
      <w:r w:rsidR="00F86537" w:rsidRPr="000B2699">
        <w:rPr>
          <w:rFonts w:cstheme="minorHAnsi"/>
          <w:color w:val="000000" w:themeColor="text1"/>
        </w:rPr>
        <w:t>)</w:t>
      </w:r>
      <w:r w:rsidR="00F86537">
        <w:rPr>
          <w:rFonts w:cstheme="minorHAnsi"/>
        </w:rPr>
        <w:t xml:space="preserve"> </w:t>
      </w:r>
      <w:proofErr w:type="spellStart"/>
      <w:r w:rsidR="009916E4">
        <w:rPr>
          <w:rFonts w:cstheme="minorHAnsi"/>
        </w:rPr>
        <w:t>programe</w:t>
      </w:r>
      <w:proofErr w:type="spellEnd"/>
      <w:r w:rsidR="009916E4">
        <w:rPr>
          <w:rFonts w:cstheme="minorHAnsi"/>
        </w:rPr>
        <w:t xml:space="preserve"> </w:t>
      </w:r>
      <w:proofErr w:type="spellStart"/>
      <w:r w:rsidR="009916E4">
        <w:rPr>
          <w:rFonts w:cstheme="minorHAnsi"/>
        </w:rPr>
        <w:t>apo</w:t>
      </w:r>
      <w:proofErr w:type="spellEnd"/>
      <w:r w:rsidR="009916E4">
        <w:rPr>
          <w:rFonts w:cstheme="minorHAnsi"/>
        </w:rPr>
        <w:t xml:space="preserve"> </w:t>
      </w:r>
      <w:proofErr w:type="spellStart"/>
      <w:r w:rsidR="00F86537">
        <w:rPr>
          <w:rFonts w:cstheme="minorHAnsi"/>
        </w:rPr>
        <w:t>drejtori</w:t>
      </w:r>
      <w:proofErr w:type="spellEnd"/>
      <w:r w:rsidRPr="00EC76E0">
        <w:rPr>
          <w:rFonts w:cstheme="minorHAnsi"/>
        </w:rPr>
        <w:t xml:space="preserve">:  </w:t>
      </w:r>
      <w:proofErr w:type="spellStart"/>
      <w:r w:rsidRPr="00EC76E0">
        <w:rPr>
          <w:rFonts w:cstheme="minorHAnsi"/>
        </w:rPr>
        <w:t>Shëndetësisë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dhe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Mirëqen</w:t>
      </w:r>
      <w:r w:rsidR="00126A7D">
        <w:rPr>
          <w:rFonts w:cstheme="minorHAnsi"/>
        </w:rPr>
        <w:t>ies</w:t>
      </w:r>
      <w:proofErr w:type="spellEnd"/>
      <w:r w:rsidR="00126A7D">
        <w:rPr>
          <w:rFonts w:cstheme="minorHAnsi"/>
        </w:rPr>
        <w:t xml:space="preserve"> </w:t>
      </w:r>
      <w:proofErr w:type="spellStart"/>
      <w:r w:rsidR="00126A7D">
        <w:rPr>
          <w:rFonts w:cstheme="minorHAnsi"/>
        </w:rPr>
        <w:t>Sociale</w:t>
      </w:r>
      <w:proofErr w:type="spellEnd"/>
      <w:r w:rsidR="00126A7D">
        <w:rPr>
          <w:rFonts w:cstheme="minorHAnsi"/>
        </w:rPr>
        <w:t xml:space="preserve">, </w:t>
      </w:r>
      <w:proofErr w:type="spellStart"/>
      <w:r w:rsidR="00126A7D">
        <w:rPr>
          <w:rFonts w:cstheme="minorHAnsi"/>
        </w:rPr>
        <w:t>shuma</w:t>
      </w:r>
      <w:proofErr w:type="spellEnd"/>
      <w:r w:rsidR="00126A7D">
        <w:rPr>
          <w:rFonts w:cstheme="minorHAnsi"/>
        </w:rPr>
        <w:t xml:space="preserve"> </w:t>
      </w:r>
      <w:proofErr w:type="spellStart"/>
      <w:r w:rsidR="00126A7D">
        <w:rPr>
          <w:rFonts w:cstheme="minorHAnsi"/>
        </w:rPr>
        <w:t>prej</w:t>
      </w:r>
      <w:proofErr w:type="spellEnd"/>
      <w:r w:rsidR="00126A7D">
        <w:rPr>
          <w:rFonts w:cstheme="minorHAnsi"/>
        </w:rPr>
        <w:t xml:space="preserve">: </w:t>
      </w:r>
      <w:r w:rsidR="003C01AC">
        <w:rPr>
          <w:rFonts w:cstheme="minorHAnsi"/>
          <w:b/>
        </w:rPr>
        <w:t>9,689.82</w:t>
      </w:r>
      <w:r w:rsidR="005D12E6">
        <w:rPr>
          <w:rFonts w:cstheme="minorHAnsi"/>
          <w:b/>
        </w:rPr>
        <w:t xml:space="preserve">€, </w:t>
      </w:r>
      <w:proofErr w:type="spellStart"/>
      <w:r w:rsidRPr="00EC76E0">
        <w:rPr>
          <w:rFonts w:cstheme="minorHAnsi"/>
        </w:rPr>
        <w:t>Administratës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Përgjithshme</w:t>
      </w:r>
      <w:proofErr w:type="spellEnd"/>
      <w:r w:rsidRPr="00EC76E0">
        <w:rPr>
          <w:rFonts w:cstheme="minorHAnsi"/>
        </w:rPr>
        <w:t xml:space="preserve">, </w:t>
      </w:r>
      <w:proofErr w:type="spell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prej</w:t>
      </w:r>
      <w:proofErr w:type="spellEnd"/>
      <w:r w:rsidR="00F87D63">
        <w:rPr>
          <w:rFonts w:cstheme="minorHAnsi"/>
        </w:rPr>
        <w:t xml:space="preserve">: </w:t>
      </w:r>
      <w:r w:rsidR="003C01AC" w:rsidRPr="003C01AC">
        <w:rPr>
          <w:rFonts w:cstheme="minorHAnsi"/>
          <w:b/>
        </w:rPr>
        <w:t>9,873</w:t>
      </w:r>
      <w:r w:rsidR="00F91E72">
        <w:rPr>
          <w:rFonts w:cstheme="minorHAnsi"/>
          <w:b/>
        </w:rPr>
        <w:t>.00</w:t>
      </w:r>
      <w:r w:rsidRPr="00EC76E0">
        <w:rPr>
          <w:rFonts w:cstheme="minorHAnsi"/>
          <w:b/>
        </w:rPr>
        <w:t>€,</w:t>
      </w:r>
      <w:r w:rsidR="00F91E72">
        <w:rPr>
          <w:rFonts w:cstheme="minorHAnsi"/>
        </w:rPr>
        <w:t xml:space="preserve"> </w:t>
      </w:r>
      <w:proofErr w:type="spellStart"/>
      <w:r w:rsidR="00F91E72">
        <w:rPr>
          <w:rFonts w:cstheme="minorHAnsi"/>
        </w:rPr>
        <w:t>Arsimi</w:t>
      </w:r>
      <w:proofErr w:type="spellEnd"/>
      <w:r w:rsidR="00F91E72">
        <w:rPr>
          <w:rFonts w:cstheme="minorHAnsi"/>
        </w:rPr>
        <w:t xml:space="preserve"> </w:t>
      </w:r>
      <w:r w:rsidR="003C01AC">
        <w:rPr>
          <w:rFonts w:cstheme="minorHAnsi"/>
          <w:b/>
        </w:rPr>
        <w:t>23,814</w:t>
      </w:r>
      <w:r w:rsidR="00F91E72" w:rsidRPr="00F91E72">
        <w:rPr>
          <w:rFonts w:cstheme="minorHAnsi"/>
          <w:b/>
        </w:rPr>
        <w:t>.00€</w:t>
      </w:r>
      <w:r w:rsidR="00F91E72">
        <w:rPr>
          <w:rFonts w:cstheme="minorHAnsi"/>
        </w:rPr>
        <w:t xml:space="preserve">, </w:t>
      </w:r>
      <w:proofErr w:type="spellStart"/>
      <w:r w:rsidR="00FA493C">
        <w:rPr>
          <w:rFonts w:cstheme="minorHAnsi"/>
        </w:rPr>
        <w:t>D</w:t>
      </w:r>
      <w:r w:rsidR="00E13047" w:rsidRPr="00EC76E0">
        <w:rPr>
          <w:rFonts w:cstheme="minorHAnsi"/>
        </w:rPr>
        <w:t>rejtoria</w:t>
      </w:r>
      <w:proofErr w:type="spellEnd"/>
      <w:r w:rsidR="00E13047" w:rsidRPr="00EC76E0">
        <w:rPr>
          <w:rFonts w:cstheme="minorHAnsi"/>
        </w:rPr>
        <w:t xml:space="preserve"> e </w:t>
      </w:r>
      <w:proofErr w:type="spellStart"/>
      <w:r w:rsidRPr="00EC76E0">
        <w:rPr>
          <w:rFonts w:cstheme="minorHAnsi"/>
        </w:rPr>
        <w:t>Bujqësisë</w:t>
      </w:r>
      <w:proofErr w:type="spellEnd"/>
      <w:r w:rsidRPr="00EC76E0">
        <w:rPr>
          <w:rFonts w:cstheme="minorHAnsi"/>
        </w:rPr>
        <w:t xml:space="preserve">, </w:t>
      </w:r>
      <w:proofErr w:type="spellStart"/>
      <w:r w:rsidRPr="00EC76E0">
        <w:rPr>
          <w:rFonts w:cstheme="minorHAnsi"/>
        </w:rPr>
        <w:t>Plltarisë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dhe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Zhvillimit</w:t>
      </w:r>
      <w:proofErr w:type="spellEnd"/>
      <w:r w:rsidRPr="00EC76E0">
        <w:rPr>
          <w:rFonts w:cstheme="minorHAnsi"/>
        </w:rPr>
        <w:t xml:space="preserve"> Rural, </w:t>
      </w:r>
      <w:proofErr w:type="spellStart"/>
      <w:r w:rsidRPr="00EC76E0">
        <w:rPr>
          <w:rFonts w:cstheme="minorHAnsi"/>
        </w:rPr>
        <w:t>shuma</w:t>
      </w:r>
      <w:proofErr w:type="spellEnd"/>
      <w:r w:rsidRPr="00EC76E0">
        <w:rPr>
          <w:rFonts w:cstheme="minorHAnsi"/>
        </w:rPr>
        <w:t xml:space="preserve"> </w:t>
      </w:r>
      <w:proofErr w:type="spellStart"/>
      <w:r w:rsidRPr="00EC76E0">
        <w:rPr>
          <w:rFonts w:cstheme="minorHAnsi"/>
        </w:rPr>
        <w:t>prej</w:t>
      </w:r>
      <w:proofErr w:type="spellEnd"/>
      <w:r w:rsidR="00E13047" w:rsidRPr="00EC76E0">
        <w:rPr>
          <w:rFonts w:cstheme="minorHAnsi"/>
        </w:rPr>
        <w:t>:</w:t>
      </w:r>
      <w:r w:rsidR="009916E4">
        <w:rPr>
          <w:rFonts w:cstheme="minorHAnsi"/>
        </w:rPr>
        <w:t xml:space="preserve"> </w:t>
      </w:r>
      <w:r w:rsidR="003C01AC">
        <w:rPr>
          <w:rFonts w:cstheme="minorHAnsi"/>
          <w:b/>
        </w:rPr>
        <w:t>15,266.86</w:t>
      </w:r>
      <w:r w:rsidR="009916E4">
        <w:rPr>
          <w:rFonts w:cstheme="minorHAnsi"/>
          <w:b/>
        </w:rPr>
        <w:t xml:space="preserve">€, </w:t>
      </w:r>
      <w:proofErr w:type="spellStart"/>
      <w:r w:rsidR="00F91E72">
        <w:rPr>
          <w:rFonts w:cstheme="minorHAnsi"/>
        </w:rPr>
        <w:t>D</w:t>
      </w:r>
      <w:r w:rsidR="00E13047" w:rsidRPr="00EC76E0">
        <w:rPr>
          <w:rFonts w:cstheme="minorHAnsi"/>
        </w:rPr>
        <w:t>rejtoria</w:t>
      </w:r>
      <w:proofErr w:type="spellEnd"/>
      <w:r w:rsidR="00E13047" w:rsidRPr="00EC76E0">
        <w:rPr>
          <w:rFonts w:cstheme="minorHAnsi"/>
        </w:rPr>
        <w:t xml:space="preserve"> e </w:t>
      </w:r>
      <w:proofErr w:type="spellStart"/>
      <w:r w:rsidR="00E13047" w:rsidRPr="00EC76E0">
        <w:rPr>
          <w:rFonts w:cstheme="minorHAnsi"/>
        </w:rPr>
        <w:t>Shërbimeve</w:t>
      </w:r>
      <w:proofErr w:type="spellEnd"/>
      <w:r w:rsidR="00E13047" w:rsidRPr="00EC76E0">
        <w:rPr>
          <w:rFonts w:cstheme="minorHAnsi"/>
        </w:rPr>
        <w:t xml:space="preserve"> </w:t>
      </w:r>
      <w:proofErr w:type="spellStart"/>
      <w:r w:rsidR="00E13047" w:rsidRPr="00EC76E0">
        <w:rPr>
          <w:rFonts w:cstheme="minorHAnsi"/>
        </w:rPr>
        <w:t>Publike</w:t>
      </w:r>
      <w:proofErr w:type="spellEnd"/>
      <w:r w:rsidR="00E13047" w:rsidRPr="00EC76E0">
        <w:rPr>
          <w:rFonts w:cstheme="minorHAnsi"/>
        </w:rPr>
        <w:t xml:space="preserve">, </w:t>
      </w:r>
      <w:proofErr w:type="spellStart"/>
      <w:r w:rsidR="00E13047" w:rsidRPr="00EC76E0">
        <w:rPr>
          <w:rFonts w:cstheme="minorHAnsi"/>
        </w:rPr>
        <w:t>shuma</w:t>
      </w:r>
      <w:proofErr w:type="spellEnd"/>
      <w:r w:rsidR="00E13047" w:rsidRPr="00EC76E0">
        <w:rPr>
          <w:rFonts w:cstheme="minorHAnsi"/>
        </w:rPr>
        <w:t xml:space="preserve"> </w:t>
      </w:r>
      <w:proofErr w:type="spellStart"/>
      <w:r w:rsidR="00E13047" w:rsidRPr="00EC76E0">
        <w:rPr>
          <w:rFonts w:cstheme="minorHAnsi"/>
        </w:rPr>
        <w:t>prej</w:t>
      </w:r>
      <w:proofErr w:type="spellEnd"/>
      <w:r w:rsidR="00E13047" w:rsidRPr="00EC76E0">
        <w:rPr>
          <w:rFonts w:cstheme="minorHAnsi"/>
        </w:rPr>
        <w:t xml:space="preserve">: </w:t>
      </w:r>
      <w:r w:rsidR="003C01AC">
        <w:rPr>
          <w:rFonts w:cstheme="minorHAnsi"/>
          <w:b/>
        </w:rPr>
        <w:t>11,951.70</w:t>
      </w:r>
      <w:r w:rsidR="00E13047" w:rsidRPr="00EC76E0">
        <w:rPr>
          <w:rFonts w:cstheme="minorHAnsi"/>
          <w:b/>
        </w:rPr>
        <w:t>€</w:t>
      </w:r>
      <w:r w:rsidR="009916E4">
        <w:rPr>
          <w:rFonts w:cstheme="minorHAnsi"/>
          <w:b/>
        </w:rPr>
        <w:t xml:space="preserve"> </w:t>
      </w:r>
      <w:proofErr w:type="spellStart"/>
      <w:r w:rsidR="009916E4" w:rsidRPr="009916E4">
        <w:rPr>
          <w:rFonts w:cstheme="minorHAnsi"/>
        </w:rPr>
        <w:t>dhe</w:t>
      </w:r>
      <w:proofErr w:type="spellEnd"/>
      <w:r w:rsidR="009916E4" w:rsidRPr="009916E4">
        <w:rPr>
          <w:rFonts w:cstheme="minorHAnsi"/>
        </w:rPr>
        <w:t xml:space="preserve"> </w:t>
      </w:r>
      <w:proofErr w:type="spellStart"/>
      <w:r w:rsidR="009916E4" w:rsidRPr="009916E4">
        <w:rPr>
          <w:rFonts w:cstheme="minorHAnsi"/>
        </w:rPr>
        <w:t>Zyra</w:t>
      </w:r>
      <w:proofErr w:type="spellEnd"/>
      <w:r w:rsidR="009916E4" w:rsidRPr="009916E4">
        <w:rPr>
          <w:rFonts w:cstheme="minorHAnsi"/>
        </w:rPr>
        <w:t xml:space="preserve"> e </w:t>
      </w:r>
      <w:proofErr w:type="spellStart"/>
      <w:r w:rsidR="009916E4" w:rsidRPr="009916E4">
        <w:rPr>
          <w:rFonts w:cstheme="minorHAnsi"/>
        </w:rPr>
        <w:t>Inspektoriatit</w:t>
      </w:r>
      <w:proofErr w:type="spellEnd"/>
      <w:r w:rsidR="009916E4" w:rsidRPr="009916E4">
        <w:rPr>
          <w:rFonts w:cstheme="minorHAnsi"/>
        </w:rPr>
        <w:t xml:space="preserve"> </w:t>
      </w:r>
      <w:proofErr w:type="spellStart"/>
      <w:r w:rsidR="009916E4" w:rsidRPr="009916E4">
        <w:rPr>
          <w:rFonts w:cstheme="minorHAnsi"/>
        </w:rPr>
        <w:t>shuma</w:t>
      </w:r>
      <w:proofErr w:type="spellEnd"/>
      <w:r w:rsidR="009916E4" w:rsidRPr="009916E4">
        <w:rPr>
          <w:rFonts w:cstheme="minorHAnsi"/>
        </w:rPr>
        <w:t xml:space="preserve"> </w:t>
      </w:r>
      <w:proofErr w:type="spellStart"/>
      <w:r w:rsidR="009916E4" w:rsidRPr="009916E4">
        <w:rPr>
          <w:rFonts w:cstheme="minorHAnsi"/>
        </w:rPr>
        <w:t>prej</w:t>
      </w:r>
      <w:proofErr w:type="spellEnd"/>
      <w:r w:rsidR="00F91E72">
        <w:rPr>
          <w:rFonts w:cstheme="minorHAnsi"/>
          <w:b/>
        </w:rPr>
        <w:t xml:space="preserve"> </w:t>
      </w:r>
      <w:r w:rsidR="003C01AC">
        <w:rPr>
          <w:rFonts w:cstheme="minorHAnsi"/>
          <w:b/>
        </w:rPr>
        <w:t>5,</w:t>
      </w:r>
      <w:r w:rsidR="00F91E72">
        <w:rPr>
          <w:rFonts w:cstheme="minorHAnsi"/>
          <w:b/>
        </w:rPr>
        <w:t>330</w:t>
      </w:r>
      <w:r w:rsidR="009916E4">
        <w:rPr>
          <w:rFonts w:cstheme="minorHAnsi"/>
          <w:b/>
        </w:rPr>
        <w:t>.00</w:t>
      </w:r>
      <w:r w:rsidR="003C01AC">
        <w:rPr>
          <w:rFonts w:cstheme="minorHAnsi"/>
          <w:b/>
        </w:rPr>
        <w:t>€</w:t>
      </w:r>
      <w:r w:rsidR="00EC76E0" w:rsidRPr="00EC76E0">
        <w:rPr>
          <w:rFonts w:cstheme="minorHAnsi"/>
          <w:b/>
        </w:rPr>
        <w:t xml:space="preserve">  </w:t>
      </w:r>
      <w:proofErr w:type="spellStart"/>
      <w:r w:rsidR="00EC76E0" w:rsidRPr="00EC76E0">
        <w:rPr>
          <w:rFonts w:cstheme="minorHAnsi"/>
        </w:rPr>
        <w:t>që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së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bashku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përbëjnë</w:t>
      </w:r>
      <w:proofErr w:type="spellEnd"/>
      <w:r w:rsidR="00EC76E0" w:rsidRPr="00EC76E0">
        <w:rPr>
          <w:rFonts w:cstheme="minorHAnsi"/>
        </w:rPr>
        <w:t xml:space="preserve"> </w:t>
      </w:r>
      <w:r w:rsidR="006F13C5">
        <w:rPr>
          <w:rFonts w:cstheme="minorHAnsi"/>
          <w:b/>
        </w:rPr>
        <w:t>21.59</w:t>
      </w:r>
      <w:r w:rsidR="00EC76E0" w:rsidRPr="00EC76E0">
        <w:rPr>
          <w:rFonts w:cstheme="minorHAnsi"/>
          <w:b/>
        </w:rPr>
        <w:t>%</w:t>
      </w:r>
      <w:r w:rsidR="00EC76E0" w:rsidRPr="00EC76E0">
        <w:rPr>
          <w:rFonts w:cstheme="minorHAnsi"/>
        </w:rPr>
        <w:t xml:space="preserve"> e </w:t>
      </w:r>
      <w:proofErr w:type="spellStart"/>
      <w:r w:rsidR="00EC76E0" w:rsidRPr="00EC76E0">
        <w:rPr>
          <w:rFonts w:cstheme="minorHAnsi"/>
        </w:rPr>
        <w:t>totalit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të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inkasimit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nga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të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hyrat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direkte</w:t>
      </w:r>
      <w:proofErr w:type="spellEnd"/>
      <w:r w:rsidR="00EC76E0" w:rsidRPr="00EC76E0">
        <w:rPr>
          <w:rFonts w:cstheme="minorHAnsi"/>
        </w:rPr>
        <w:t xml:space="preserve"> </w:t>
      </w:r>
      <w:proofErr w:type="spellStart"/>
      <w:r w:rsidR="00EC76E0" w:rsidRPr="00EC76E0">
        <w:rPr>
          <w:rFonts w:cstheme="minorHAnsi"/>
        </w:rPr>
        <w:t>komunale</w:t>
      </w:r>
      <w:proofErr w:type="spellEnd"/>
      <w:r w:rsidR="00EC76E0" w:rsidRPr="00EC76E0">
        <w:rPr>
          <w:rFonts w:cstheme="minorHAnsi"/>
        </w:rPr>
        <w:t>.</w:t>
      </w:r>
      <w:proofErr w:type="gramEnd"/>
      <w:r w:rsidR="00EC76E0" w:rsidRPr="00EC76E0">
        <w:rPr>
          <w:rFonts w:cstheme="minorHAnsi"/>
        </w:rPr>
        <w:t xml:space="preserve"> </w:t>
      </w:r>
    </w:p>
    <w:p w:rsidR="004B61D6" w:rsidRPr="004B61D6" w:rsidRDefault="004B61D6" w:rsidP="004B61D6">
      <w:pPr>
        <w:pStyle w:val="ListParagraph"/>
        <w:rPr>
          <w:rFonts w:cstheme="minorHAnsi"/>
        </w:rPr>
      </w:pPr>
    </w:p>
    <w:p w:rsidR="004B61D6" w:rsidRPr="004B61D6" w:rsidRDefault="004B61D6" w:rsidP="004B61D6">
      <w:pPr>
        <w:pStyle w:val="ListParagraph"/>
        <w:jc w:val="both"/>
        <w:rPr>
          <w:rFonts w:cstheme="minorHAnsi"/>
        </w:rPr>
      </w:pPr>
    </w:p>
    <w:p w:rsidR="001D5E93" w:rsidRDefault="00552560" w:rsidP="008139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0B1397">
        <w:rPr>
          <w:rFonts w:cstheme="minorHAnsi"/>
        </w:rPr>
        <w:t>Krahasuar</w:t>
      </w:r>
      <w:proofErr w:type="spellEnd"/>
      <w:r w:rsidRPr="000B1397">
        <w:rPr>
          <w:rFonts w:cstheme="minorHAnsi"/>
        </w:rPr>
        <w:t xml:space="preserve"> me </w:t>
      </w:r>
      <w:proofErr w:type="spellStart"/>
      <w:r w:rsidRPr="000B1397">
        <w:rPr>
          <w:rFonts w:cstheme="minorHAnsi"/>
        </w:rPr>
        <w:t>inka</w:t>
      </w:r>
      <w:r w:rsidR="00DA7F38">
        <w:rPr>
          <w:rFonts w:cstheme="minorHAnsi"/>
        </w:rPr>
        <w:t>simin</w:t>
      </w:r>
      <w:proofErr w:type="spellEnd"/>
      <w:r w:rsidR="00DA7F38">
        <w:rPr>
          <w:rFonts w:cstheme="minorHAnsi"/>
        </w:rPr>
        <w:t xml:space="preserve"> e </w:t>
      </w:r>
      <w:proofErr w:type="spellStart"/>
      <w:proofErr w:type="gramStart"/>
      <w:r w:rsidR="00DA7F38">
        <w:rPr>
          <w:rFonts w:cstheme="minorHAnsi"/>
        </w:rPr>
        <w:t>realizuar</w:t>
      </w:r>
      <w:proofErr w:type="spellEnd"/>
      <w:r w:rsidR="00DA7F38">
        <w:rPr>
          <w:rFonts w:cstheme="minorHAnsi"/>
        </w:rPr>
        <w:t xml:space="preserve">  </w:t>
      </w:r>
      <w:proofErr w:type="spellStart"/>
      <w:r w:rsidR="00DA7F38">
        <w:rPr>
          <w:rFonts w:cstheme="minorHAnsi"/>
        </w:rPr>
        <w:t>të</w:t>
      </w:r>
      <w:proofErr w:type="spellEnd"/>
      <w:proofErr w:type="gramEnd"/>
      <w:r w:rsidR="00DA7F38">
        <w:rPr>
          <w:rFonts w:cstheme="minorHAnsi"/>
        </w:rPr>
        <w:t xml:space="preserve"> </w:t>
      </w:r>
      <w:proofErr w:type="spellStart"/>
      <w:r w:rsidR="00DA7F38">
        <w:rPr>
          <w:rFonts w:cstheme="minorHAnsi"/>
        </w:rPr>
        <w:t>vitit</w:t>
      </w:r>
      <w:proofErr w:type="spellEnd"/>
      <w:r w:rsidR="00496D8B">
        <w:rPr>
          <w:rFonts w:cstheme="minorHAnsi"/>
        </w:rPr>
        <w:t xml:space="preserve"> 202</w:t>
      </w:r>
      <w:r w:rsidR="00D1593F">
        <w:rPr>
          <w:rFonts w:cstheme="minorHAnsi"/>
        </w:rPr>
        <w:t>3</w:t>
      </w:r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së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njejtës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periudhë</w:t>
      </w:r>
      <w:proofErr w:type="spellEnd"/>
      <w:r w:rsidRPr="000B1397">
        <w:rPr>
          <w:rFonts w:cstheme="minorHAnsi"/>
        </w:rPr>
        <w:t xml:space="preserve">,  </w:t>
      </w:r>
      <w:proofErr w:type="spellStart"/>
      <w:r w:rsidRPr="000B1397">
        <w:rPr>
          <w:rFonts w:cstheme="minorHAnsi"/>
        </w:rPr>
        <w:t>nga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raporti</w:t>
      </w:r>
      <w:proofErr w:type="spellEnd"/>
      <w:r w:rsidRPr="000B1397">
        <w:rPr>
          <w:rFonts w:cstheme="minorHAnsi"/>
        </w:rPr>
        <w:t xml:space="preserve"> i </w:t>
      </w:r>
      <w:proofErr w:type="spellStart"/>
      <w:r w:rsidRPr="000B1397">
        <w:rPr>
          <w:rFonts w:cstheme="minorHAnsi"/>
        </w:rPr>
        <w:t>realizimit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HVK-</w:t>
      </w:r>
      <w:proofErr w:type="spellStart"/>
      <w:r w:rsidRPr="000B1397">
        <w:rPr>
          <w:rFonts w:cstheme="minorHAnsi"/>
        </w:rPr>
        <w:t>së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Pr="000B1397">
        <w:rPr>
          <w:rFonts w:cstheme="minorHAnsi"/>
        </w:rPr>
        <w:t>të</w:t>
      </w:r>
      <w:proofErr w:type="spellEnd"/>
      <w:r w:rsidRPr="000B1397">
        <w:rPr>
          <w:rFonts w:cstheme="minorHAnsi"/>
        </w:rPr>
        <w:t xml:space="preserve"> </w:t>
      </w:r>
      <w:proofErr w:type="spellStart"/>
      <w:r w:rsidR="002D5ACF">
        <w:rPr>
          <w:rFonts w:cstheme="minorHAnsi"/>
        </w:rPr>
        <w:t>vitit</w:t>
      </w:r>
      <w:proofErr w:type="spellEnd"/>
      <w:r w:rsidR="002D5ACF">
        <w:rPr>
          <w:rFonts w:cstheme="minorHAnsi"/>
        </w:rPr>
        <w:t xml:space="preserve"> 2024</w:t>
      </w:r>
      <w:r w:rsidR="000B1397" w:rsidRPr="000B1397">
        <w:rPr>
          <w:rFonts w:cstheme="minorHAnsi"/>
        </w:rPr>
        <w:t xml:space="preserve"> del </w:t>
      </w:r>
      <w:r w:rsidR="00496D8B">
        <w:rPr>
          <w:rFonts w:cstheme="minorHAnsi"/>
        </w:rPr>
        <w:t xml:space="preserve">se </w:t>
      </w:r>
      <w:proofErr w:type="spellStart"/>
      <w:r w:rsidR="00496D8B">
        <w:rPr>
          <w:rFonts w:cstheme="minorHAnsi"/>
        </w:rPr>
        <w:t>janë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496D8B">
        <w:rPr>
          <w:rFonts w:cstheme="minorHAnsi"/>
        </w:rPr>
        <w:t>inkasuar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496D8B">
        <w:rPr>
          <w:rFonts w:cstheme="minorHAnsi"/>
        </w:rPr>
        <w:t>mjete</w:t>
      </w:r>
      <w:proofErr w:type="spellEnd"/>
      <w:r w:rsidR="00496D8B">
        <w:rPr>
          <w:rFonts w:cstheme="minorHAnsi"/>
        </w:rPr>
        <w:t xml:space="preserve"> </w:t>
      </w:r>
      <w:proofErr w:type="spellStart"/>
      <w:r w:rsidR="000B1397" w:rsidRPr="000B1397">
        <w:rPr>
          <w:rFonts w:cstheme="minorHAnsi"/>
        </w:rPr>
        <w:t>prej</w:t>
      </w:r>
      <w:proofErr w:type="spellEnd"/>
      <w:r w:rsidR="000B1397" w:rsidRPr="000B1397">
        <w:rPr>
          <w:rFonts w:cstheme="minorHAnsi"/>
        </w:rPr>
        <w:t xml:space="preserve">: </w:t>
      </w:r>
      <w:r w:rsidR="00D1593F">
        <w:rPr>
          <w:rFonts w:cstheme="minorHAnsi"/>
          <w:b/>
        </w:rPr>
        <w:t>171,486.67</w:t>
      </w:r>
      <w:r w:rsidR="002D5ACF">
        <w:rPr>
          <w:rFonts w:cstheme="minorHAnsi"/>
          <w:b/>
        </w:rPr>
        <w:t>.00</w:t>
      </w:r>
      <w:r w:rsidR="000B1397" w:rsidRPr="00494763">
        <w:rPr>
          <w:rFonts w:cstheme="minorHAnsi"/>
          <w:b/>
        </w:rPr>
        <w:t xml:space="preserve"> €</w:t>
      </w:r>
      <w:r w:rsidR="00D1593F">
        <w:rPr>
          <w:rFonts w:cstheme="minorHAnsi"/>
        </w:rPr>
        <w:t xml:space="preserve"> </w:t>
      </w:r>
      <w:proofErr w:type="spellStart"/>
      <w:r w:rsidR="00D1593F">
        <w:rPr>
          <w:rFonts w:cstheme="minorHAnsi"/>
        </w:rPr>
        <w:t>më</w:t>
      </w:r>
      <w:proofErr w:type="spellEnd"/>
      <w:r w:rsidR="00D1593F">
        <w:rPr>
          <w:rFonts w:cstheme="minorHAnsi"/>
        </w:rPr>
        <w:t xml:space="preserve"> </w:t>
      </w:r>
      <w:proofErr w:type="spellStart"/>
      <w:r w:rsidR="00D1593F">
        <w:rPr>
          <w:rFonts w:cstheme="minorHAnsi"/>
        </w:rPr>
        <w:t>pak</w:t>
      </w:r>
      <w:proofErr w:type="spellEnd"/>
      <w:r w:rsidR="00D1593F">
        <w:rPr>
          <w:rFonts w:cstheme="minorHAnsi"/>
        </w:rPr>
        <w:t xml:space="preserve"> </w:t>
      </w:r>
      <w:r w:rsidR="00D748DD">
        <w:rPr>
          <w:rFonts w:cstheme="minorHAnsi"/>
        </w:rPr>
        <w:t>se</w:t>
      </w:r>
      <w:r w:rsidR="002D5ACF">
        <w:rPr>
          <w:rFonts w:cstheme="minorHAnsi"/>
        </w:rPr>
        <w:t xml:space="preserve"> ne </w:t>
      </w:r>
      <w:proofErr w:type="spellStart"/>
      <w:r w:rsidR="002D5ACF">
        <w:rPr>
          <w:rFonts w:cstheme="minorHAnsi"/>
        </w:rPr>
        <w:t>vitin</w:t>
      </w:r>
      <w:proofErr w:type="spellEnd"/>
      <w:r w:rsidR="002D5ACF">
        <w:rPr>
          <w:rFonts w:cstheme="minorHAnsi"/>
        </w:rPr>
        <w:t xml:space="preserve"> 2023</w:t>
      </w:r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nga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te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hyrat</w:t>
      </w:r>
      <w:proofErr w:type="spellEnd"/>
      <w:r w:rsidR="00855FC8">
        <w:rPr>
          <w:rFonts w:cstheme="minorHAnsi"/>
        </w:rPr>
        <w:t xml:space="preserve"> </w:t>
      </w:r>
      <w:proofErr w:type="spellStart"/>
      <w:r w:rsidR="00855FC8">
        <w:rPr>
          <w:rFonts w:cstheme="minorHAnsi"/>
        </w:rPr>
        <w:t>direkte</w:t>
      </w:r>
      <w:proofErr w:type="spellEnd"/>
      <w:r w:rsidR="00855FC8">
        <w:rPr>
          <w:rFonts w:cstheme="minorHAnsi"/>
        </w:rPr>
        <w:t>.</w:t>
      </w:r>
    </w:p>
    <w:p w:rsidR="00C74CE7" w:rsidRDefault="00C74CE7" w:rsidP="00C74C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C74CE7" w:rsidRPr="00C74CE7" w:rsidRDefault="00C74CE7" w:rsidP="00C74CE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proofErr w:type="gramStart"/>
      <w:r w:rsidRPr="00C74CE7">
        <w:rPr>
          <w:rFonts w:cstheme="minorHAnsi"/>
          <w:i/>
        </w:rPr>
        <w:t>Rënia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grumbullimin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hyrave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vetanake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në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Drejtorinë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për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Buxhet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dhe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Financa</w:t>
      </w:r>
      <w:proofErr w:type="spellEnd"/>
      <w:r w:rsidR="00C65C6D">
        <w:rPr>
          <w:rFonts w:cstheme="minorHAnsi"/>
          <w:i/>
        </w:rPr>
        <w:t xml:space="preserve">, </w:t>
      </w:r>
      <w:proofErr w:type="spellStart"/>
      <w:r w:rsidR="00B61CCD">
        <w:rPr>
          <w:rFonts w:cstheme="minorHAnsi"/>
          <w:i/>
        </w:rPr>
        <w:t>fillimisht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ka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ardhur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si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rezultat</w:t>
      </w:r>
      <w:proofErr w:type="spellEnd"/>
      <w:r w:rsidRPr="00C74CE7">
        <w:rPr>
          <w:rFonts w:cstheme="minorHAnsi"/>
          <w:i/>
        </w:rPr>
        <w:t xml:space="preserve"> </w:t>
      </w:r>
      <w:r w:rsidR="00C65C6D">
        <w:rPr>
          <w:rFonts w:cstheme="minorHAnsi"/>
          <w:i/>
        </w:rPr>
        <w:t>i</w:t>
      </w:r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ndryshimeve</w:t>
      </w:r>
      <w:proofErr w:type="spellEnd"/>
      <w:r w:rsidRPr="00C74CE7">
        <w:rPr>
          <w:rFonts w:cstheme="minorHAnsi"/>
          <w:i/>
        </w:rPr>
        <w:t xml:space="preserve"> ne </w:t>
      </w:r>
      <w:proofErr w:type="spellStart"/>
      <w:r w:rsidRPr="00C74CE7">
        <w:rPr>
          <w:rFonts w:cstheme="minorHAnsi"/>
          <w:i/>
        </w:rPr>
        <w:t>Ligjin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Tatimit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pronë</w:t>
      </w:r>
      <w:proofErr w:type="spellEnd"/>
      <w:r w:rsidRPr="00C74CE7">
        <w:rPr>
          <w:rFonts w:cstheme="minorHAnsi"/>
          <w:i/>
        </w:rPr>
        <w:t>,</w:t>
      </w:r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ku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sipas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ligjit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ri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është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rritur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vlera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zbritjes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secilin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tatimpagues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pronën</w:t>
      </w:r>
      <w:proofErr w:type="spellEnd"/>
      <w:r w:rsidRPr="00C74CE7">
        <w:rPr>
          <w:rFonts w:cstheme="minorHAnsi"/>
          <w:i/>
        </w:rPr>
        <w:t xml:space="preserve"> e </w:t>
      </w:r>
      <w:proofErr w:type="spellStart"/>
      <w:r w:rsidRPr="00C74CE7">
        <w:rPr>
          <w:rFonts w:cstheme="minorHAnsi"/>
          <w:i/>
        </w:rPr>
        <w:t>cilësuar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për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65C6D">
        <w:rPr>
          <w:rFonts w:cstheme="minorHAnsi"/>
          <w:b/>
          <w:i/>
        </w:rPr>
        <w:t>banim</w:t>
      </w:r>
      <w:proofErr w:type="spellEnd"/>
      <w:r w:rsidRPr="00C65C6D">
        <w:rPr>
          <w:rFonts w:cstheme="minorHAnsi"/>
          <w:b/>
          <w:i/>
        </w:rPr>
        <w:t xml:space="preserve"> </w:t>
      </w:r>
      <w:proofErr w:type="spellStart"/>
      <w:r w:rsidRPr="00C65C6D">
        <w:rPr>
          <w:rFonts w:cstheme="minorHAnsi"/>
          <w:b/>
          <w:i/>
        </w:rPr>
        <w:t>primarë</w:t>
      </w:r>
      <w:proofErr w:type="spellEnd"/>
      <w:r w:rsidRPr="00C74CE7">
        <w:rPr>
          <w:rFonts w:cstheme="minorHAnsi"/>
          <w:i/>
        </w:rPr>
        <w:t xml:space="preserve"> </w:t>
      </w:r>
      <w:proofErr w:type="spellStart"/>
      <w:r w:rsidRPr="00C74CE7">
        <w:rPr>
          <w:rFonts w:cstheme="minorHAnsi"/>
          <w:i/>
        </w:rPr>
        <w:t>nga</w:t>
      </w:r>
      <w:proofErr w:type="spellEnd"/>
      <w:r w:rsidRPr="00C74CE7">
        <w:rPr>
          <w:rFonts w:cstheme="minorHAnsi"/>
          <w:i/>
        </w:rPr>
        <w:t xml:space="preserve"> 15,000.00€ </w:t>
      </w:r>
      <w:proofErr w:type="spellStart"/>
      <w:r w:rsidRPr="00C74CE7">
        <w:rPr>
          <w:rFonts w:cstheme="minorHAnsi"/>
          <w:i/>
        </w:rPr>
        <w:t>në</w:t>
      </w:r>
      <w:proofErr w:type="spellEnd"/>
      <w:r w:rsidRPr="00C74CE7">
        <w:rPr>
          <w:rFonts w:cstheme="minorHAnsi"/>
          <w:i/>
        </w:rPr>
        <w:t xml:space="preserve"> 30,000.00€</w:t>
      </w:r>
      <w:r w:rsidR="00C523EB">
        <w:rPr>
          <w:rFonts w:cstheme="minorHAnsi"/>
          <w:i/>
        </w:rPr>
        <w:t xml:space="preserve">, </w:t>
      </w:r>
      <w:proofErr w:type="spellStart"/>
      <w:r w:rsidR="00C523EB">
        <w:rPr>
          <w:rFonts w:cstheme="minorHAnsi"/>
          <w:i/>
        </w:rPr>
        <w:t>ndryshimet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tjera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sipas</w:t>
      </w:r>
      <w:proofErr w:type="spellEnd"/>
      <w:r w:rsidR="00C523EB">
        <w:rPr>
          <w:rFonts w:cstheme="minorHAnsi"/>
          <w:i/>
        </w:rPr>
        <w:t xml:space="preserve"> UA </w:t>
      </w:r>
      <w:proofErr w:type="spellStart"/>
      <w:r w:rsidR="00C523EB">
        <w:rPr>
          <w:rFonts w:cstheme="minorHAnsi"/>
          <w:i/>
        </w:rPr>
        <w:t>nga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Qeveria</w:t>
      </w:r>
      <w:proofErr w:type="spellEnd"/>
      <w:r w:rsidR="00C523EB">
        <w:rPr>
          <w:rFonts w:cstheme="minorHAnsi"/>
          <w:i/>
        </w:rPr>
        <w:t xml:space="preserve"> </w:t>
      </w:r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siq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është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heqja</w:t>
      </w:r>
      <w:proofErr w:type="spellEnd"/>
      <w:r w:rsidR="00B61CCD">
        <w:rPr>
          <w:rFonts w:cstheme="minorHAnsi"/>
          <w:i/>
        </w:rPr>
        <w:t xml:space="preserve"> e </w:t>
      </w:r>
      <w:proofErr w:type="spellStart"/>
      <w:r w:rsidR="00B61CCD">
        <w:rPr>
          <w:rFonts w:cstheme="minorHAnsi"/>
          <w:i/>
        </w:rPr>
        <w:t>kushtëzimeve</w:t>
      </w:r>
      <w:proofErr w:type="spellEnd"/>
      <w:r w:rsidR="00B61CCD">
        <w:rPr>
          <w:rFonts w:cstheme="minorHAnsi"/>
          <w:i/>
        </w:rPr>
        <w:t xml:space="preserve"> administrative me </w:t>
      </w:r>
      <w:proofErr w:type="spellStart"/>
      <w:r w:rsidR="00B61CCD">
        <w:rPr>
          <w:rFonts w:cstheme="minorHAnsi"/>
          <w:i/>
        </w:rPr>
        <w:t>rastin</w:t>
      </w:r>
      <w:proofErr w:type="spellEnd"/>
      <w:r w:rsidR="00B61CCD">
        <w:rPr>
          <w:rFonts w:cstheme="minorHAnsi"/>
          <w:i/>
        </w:rPr>
        <w:t xml:space="preserve"> e </w:t>
      </w:r>
      <w:proofErr w:type="spellStart"/>
      <w:r w:rsidR="00B61CCD">
        <w:rPr>
          <w:rFonts w:cstheme="minorHAnsi"/>
          <w:i/>
        </w:rPr>
        <w:t>regjistrimit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te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veturave</w:t>
      </w:r>
      <w:proofErr w:type="spellEnd"/>
      <w:r w:rsidR="00C523EB">
        <w:rPr>
          <w:rFonts w:cstheme="minorHAnsi"/>
          <w:i/>
        </w:rPr>
        <w:t xml:space="preserve">, </w:t>
      </w:r>
      <w:proofErr w:type="spellStart"/>
      <w:r w:rsidR="00C523EB">
        <w:rPr>
          <w:rFonts w:cstheme="minorHAnsi"/>
          <w:i/>
        </w:rPr>
        <w:t>ndryshimeve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tjera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kadastrale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si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psh.shitë-blerja</w:t>
      </w:r>
      <w:proofErr w:type="spellEnd"/>
      <w:r w:rsidR="00C523EB">
        <w:rPr>
          <w:rFonts w:cstheme="minorHAnsi"/>
          <w:i/>
        </w:rPr>
        <w:t xml:space="preserve"> e </w:t>
      </w:r>
      <w:proofErr w:type="spellStart"/>
      <w:r w:rsidR="00C523EB">
        <w:rPr>
          <w:rFonts w:cstheme="minorHAnsi"/>
          <w:i/>
        </w:rPr>
        <w:t>pronave</w:t>
      </w:r>
      <w:proofErr w:type="spellEnd"/>
      <w:r w:rsidR="00C523EB">
        <w:rPr>
          <w:rFonts w:cstheme="minorHAnsi"/>
          <w:i/>
        </w:rPr>
        <w:t xml:space="preserve"> private </w:t>
      </w:r>
      <w:proofErr w:type="spellStart"/>
      <w:r w:rsidR="00C523EB">
        <w:rPr>
          <w:rFonts w:cstheme="minorHAnsi"/>
          <w:i/>
        </w:rPr>
        <w:t>nga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tatimpaguesve</w:t>
      </w:r>
      <w:proofErr w:type="spellEnd"/>
      <w:r w:rsidR="00B61CCD">
        <w:rPr>
          <w:rFonts w:cstheme="minorHAnsi"/>
          <w:i/>
        </w:rPr>
        <w:t xml:space="preserve"> </w:t>
      </w:r>
      <w:proofErr w:type="spellStart"/>
      <w:r w:rsidR="00B61CCD">
        <w:rPr>
          <w:rFonts w:cstheme="minorHAnsi"/>
          <w:i/>
        </w:rPr>
        <w:t>borgjlinjë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në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tatim</w:t>
      </w:r>
      <w:proofErr w:type="spellEnd"/>
      <w:r w:rsidR="00C523EB">
        <w:rPr>
          <w:rFonts w:cstheme="minorHAnsi"/>
          <w:i/>
        </w:rPr>
        <w:t xml:space="preserve"> prone, </w:t>
      </w:r>
      <w:proofErr w:type="spellStart"/>
      <w:r w:rsidR="00C523EB">
        <w:rPr>
          <w:rFonts w:cstheme="minorHAnsi"/>
          <w:i/>
        </w:rPr>
        <w:t>poashtu</w:t>
      </w:r>
      <w:proofErr w:type="spellEnd"/>
      <w:r w:rsidR="00C523EB">
        <w:rPr>
          <w:rFonts w:cstheme="minorHAnsi"/>
          <w:i/>
        </w:rPr>
        <w:t xml:space="preserve"> </w:t>
      </w:r>
      <w:proofErr w:type="spellStart"/>
      <w:r w:rsidR="00C523EB">
        <w:rPr>
          <w:rFonts w:cstheme="minorHAnsi"/>
          <w:i/>
        </w:rPr>
        <w:t>ed</w:t>
      </w:r>
      <w:r w:rsidR="00C65C6D">
        <w:rPr>
          <w:rFonts w:cstheme="minorHAnsi"/>
          <w:i/>
        </w:rPr>
        <w:t>he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rënia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nga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taksat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për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leje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ndërtimore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te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Drejtoria</w:t>
      </w:r>
      <w:proofErr w:type="spellEnd"/>
      <w:r w:rsidR="00C65C6D">
        <w:rPr>
          <w:rFonts w:cstheme="minorHAnsi"/>
          <w:i/>
        </w:rPr>
        <w:t xml:space="preserve"> e </w:t>
      </w:r>
      <w:proofErr w:type="spellStart"/>
      <w:r w:rsidR="00C65C6D">
        <w:rPr>
          <w:rFonts w:cstheme="minorHAnsi"/>
          <w:i/>
        </w:rPr>
        <w:t>Urbanizmit</w:t>
      </w:r>
      <w:proofErr w:type="spellEnd"/>
      <w:r w:rsidR="00C65C6D">
        <w:rPr>
          <w:rFonts w:cstheme="minorHAnsi"/>
          <w:i/>
        </w:rPr>
        <w:t xml:space="preserve">, </w:t>
      </w:r>
      <w:proofErr w:type="spellStart"/>
      <w:r w:rsidR="00C65C6D">
        <w:rPr>
          <w:rFonts w:cstheme="minorHAnsi"/>
          <w:i/>
        </w:rPr>
        <w:t>Planifikimit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Hapsinorë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dhe</w:t>
      </w:r>
      <w:proofErr w:type="spellEnd"/>
      <w:r w:rsidR="00C65C6D">
        <w:rPr>
          <w:rFonts w:cstheme="minorHAnsi"/>
          <w:i/>
        </w:rPr>
        <w:t xml:space="preserve"> </w:t>
      </w:r>
      <w:proofErr w:type="spellStart"/>
      <w:r w:rsidR="00C65C6D">
        <w:rPr>
          <w:rFonts w:cstheme="minorHAnsi"/>
          <w:i/>
        </w:rPr>
        <w:t>Mjedisit</w:t>
      </w:r>
      <w:proofErr w:type="spellEnd"/>
      <w:r w:rsidR="00C65C6D">
        <w:rPr>
          <w:rFonts w:cstheme="minorHAnsi"/>
          <w:i/>
        </w:rPr>
        <w:t>.</w:t>
      </w:r>
      <w:proofErr w:type="gramEnd"/>
      <w:r w:rsidR="00C65C6D">
        <w:rPr>
          <w:rFonts w:cstheme="minorHAnsi"/>
          <w:i/>
        </w:rPr>
        <w:t xml:space="preserve"> </w:t>
      </w:r>
    </w:p>
    <w:p w:rsidR="00855FC8" w:rsidRDefault="00855FC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55FC8" w:rsidRPr="000B1397" w:rsidRDefault="00992A4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T</w:t>
      </w:r>
      <w:r w:rsidR="0079617F">
        <w:rPr>
          <w:rFonts w:cstheme="minorHAnsi"/>
        </w:rPr>
        <w:t>ë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hyrat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indirekte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te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cilat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realizohen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Gjykatat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Policia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Agjensioni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Pyjor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Kosovës</w:t>
      </w:r>
      <w:proofErr w:type="spellEnd"/>
      <w:r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nuk</w:t>
      </w:r>
      <w:proofErr w:type="spellEnd"/>
      <w:r w:rsidR="0079617F">
        <w:rPr>
          <w:rFonts w:cstheme="minorHAnsi"/>
        </w:rPr>
        <w:t xml:space="preserve"> </w:t>
      </w:r>
      <w:proofErr w:type="spellStart"/>
      <w:proofErr w:type="gramStart"/>
      <w:r w:rsidR="0079617F">
        <w:rPr>
          <w:rFonts w:cstheme="minorHAnsi"/>
        </w:rPr>
        <w:t>na</w:t>
      </w:r>
      <w:proofErr w:type="spellEnd"/>
      <w:proofErr w:type="gram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janë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dërguar</w:t>
      </w:r>
      <w:proofErr w:type="spellEnd"/>
      <w:r w:rsidR="0079617F">
        <w:rPr>
          <w:rFonts w:cstheme="minorHAnsi"/>
        </w:rPr>
        <w:t xml:space="preserve"> </w:t>
      </w:r>
      <w:proofErr w:type="spellStart"/>
      <w:r w:rsidR="0079617F">
        <w:rPr>
          <w:rFonts w:cstheme="minorHAnsi"/>
        </w:rPr>
        <w:t>ende</w:t>
      </w:r>
      <w:proofErr w:type="spellEnd"/>
      <w:r w:rsidR="0079617F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Keto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hyra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meqë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realizohen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institucione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tjera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perfshihen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planifikim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sepse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shpenzimi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tyre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takon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komunave</w:t>
      </w:r>
      <w:proofErr w:type="spellEnd"/>
      <w:r>
        <w:rPr>
          <w:rFonts w:cstheme="minorHAnsi"/>
        </w:rPr>
        <w:t>.</w:t>
      </w:r>
      <w:r w:rsidR="0079617F">
        <w:rPr>
          <w:rFonts w:cstheme="minorHAnsi"/>
        </w:rPr>
        <w:t xml:space="preserve"> </w:t>
      </w:r>
    </w:p>
    <w:p w:rsidR="003100EA" w:rsidRPr="003100EA" w:rsidRDefault="003100EA" w:rsidP="003100E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13967" w:rsidRDefault="001D5E93" w:rsidP="003100EA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Ndërsa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tabela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vijim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paraqet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mënyrë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përgjidhshme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realizimin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hvk-së</w:t>
      </w:r>
      <w:proofErr w:type="spellEnd"/>
      <w:r>
        <w:rPr>
          <w:rFonts w:cstheme="minorHAnsi"/>
        </w:rPr>
        <w:t xml:space="preserve"> per </w:t>
      </w:r>
      <w:proofErr w:type="spellStart"/>
      <w:r>
        <w:rPr>
          <w:rFonts w:cstheme="minorHAnsi"/>
        </w:rPr>
        <w:t>periudhën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raportuese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krahasimin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realizimit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drejtorive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viteve</w:t>
      </w:r>
      <w:proofErr w:type="spellEnd"/>
      <w:r>
        <w:rPr>
          <w:rFonts w:cstheme="minorHAnsi"/>
        </w:rPr>
        <w:t>:</w:t>
      </w:r>
    </w:p>
    <w:p w:rsidR="00D82753" w:rsidRDefault="00D82753">
      <w:pPr>
        <w:rPr>
          <w:noProof/>
        </w:rPr>
      </w:pPr>
    </w:p>
    <w:p w:rsidR="00D82753" w:rsidRPr="004B61D6" w:rsidRDefault="00D82753" w:rsidP="004B61D6"/>
    <w:p w:rsidR="00D82753" w:rsidRDefault="00322314">
      <w:r w:rsidRPr="00322314">
        <w:rPr>
          <w:noProof/>
        </w:rPr>
        <w:drawing>
          <wp:inline distT="0" distB="0" distL="0" distR="0">
            <wp:extent cx="6685915" cy="810514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81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38" w:rsidRDefault="009E1C3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ED4A17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proofErr w:type="gramStart"/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>II .</w:t>
      </w:r>
      <w:proofErr w:type="gramEnd"/>
      <w:r w:rsidR="003C1F2D" w:rsidRPr="00593DDD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Shpenzimet</w:t>
      </w:r>
      <w:proofErr w:type="spellEnd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 xml:space="preserve"> e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realizuara</w:t>
      </w:r>
      <w:proofErr w:type="spellEnd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C1F2D" w:rsidRPr="003569C4">
        <w:rPr>
          <w:rFonts w:cstheme="minorHAnsi"/>
          <w:b/>
          <w:color w:val="000000" w:themeColor="text1"/>
          <w:sz w:val="28"/>
          <w:szCs w:val="28"/>
        </w:rPr>
        <w:t>pë</w:t>
      </w:r>
      <w:r w:rsidR="006C40F9">
        <w:rPr>
          <w:rFonts w:cstheme="minorHAnsi"/>
          <w:b/>
          <w:color w:val="000000" w:themeColor="text1"/>
          <w:sz w:val="28"/>
          <w:szCs w:val="28"/>
        </w:rPr>
        <w:t>r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6C40F9">
        <w:rPr>
          <w:rFonts w:cstheme="minorHAnsi"/>
          <w:b/>
          <w:color w:val="000000" w:themeColor="text1"/>
          <w:sz w:val="28"/>
          <w:szCs w:val="28"/>
        </w:rPr>
        <w:t>periudhën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  </w:t>
      </w:r>
      <w:proofErr w:type="spellStart"/>
      <w:r w:rsidR="006C40F9">
        <w:rPr>
          <w:rFonts w:cstheme="minorHAnsi"/>
          <w:b/>
          <w:color w:val="000000" w:themeColor="text1"/>
          <w:sz w:val="28"/>
          <w:szCs w:val="28"/>
        </w:rPr>
        <w:t>Janar</w:t>
      </w:r>
      <w:proofErr w:type="spellEnd"/>
      <w:r w:rsidR="006C40F9">
        <w:rPr>
          <w:rFonts w:cstheme="minorHAnsi"/>
          <w:b/>
          <w:color w:val="000000" w:themeColor="text1"/>
          <w:sz w:val="28"/>
          <w:szCs w:val="28"/>
        </w:rPr>
        <w:t xml:space="preserve"> – </w:t>
      </w:r>
      <w:proofErr w:type="spellStart"/>
      <w:r w:rsidR="006C40F9">
        <w:rPr>
          <w:rFonts w:cstheme="minorHAnsi"/>
          <w:b/>
          <w:color w:val="000000" w:themeColor="text1"/>
          <w:sz w:val="28"/>
          <w:szCs w:val="28"/>
        </w:rPr>
        <w:t>Qershor</w:t>
      </w:r>
      <w:proofErr w:type="spellEnd"/>
      <w:r w:rsidR="00C549D1" w:rsidRPr="003569C4">
        <w:rPr>
          <w:rFonts w:cstheme="minorHAnsi"/>
          <w:b/>
          <w:color w:val="000000" w:themeColor="text1"/>
          <w:sz w:val="28"/>
          <w:szCs w:val="28"/>
        </w:rPr>
        <w:t xml:space="preserve"> 202</w:t>
      </w:r>
      <w:r w:rsidR="00FA4FAF">
        <w:rPr>
          <w:rFonts w:cstheme="minorHAnsi"/>
          <w:b/>
          <w:color w:val="000000" w:themeColor="text1"/>
          <w:sz w:val="28"/>
          <w:szCs w:val="28"/>
        </w:rPr>
        <w:t>4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B06AE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proofErr w:type="spellStart"/>
      <w:r w:rsidRPr="00C13B25">
        <w:rPr>
          <w:rFonts w:cstheme="minorHAnsi"/>
          <w:color w:val="000000" w:themeColor="text1"/>
        </w:rPr>
        <w:t>Dinamika</w:t>
      </w:r>
      <w:proofErr w:type="spellEnd"/>
      <w:r w:rsidRPr="00C13B25">
        <w:rPr>
          <w:rFonts w:cstheme="minorHAnsi"/>
          <w:color w:val="000000" w:themeColor="text1"/>
        </w:rPr>
        <w:t xml:space="preserve"> e </w:t>
      </w:r>
      <w:proofErr w:type="spellStart"/>
      <w:r w:rsidRPr="00C13B25">
        <w:rPr>
          <w:rFonts w:cstheme="minorHAnsi"/>
          <w:color w:val="000000" w:themeColor="text1"/>
        </w:rPr>
        <w:t>shpenzimeve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C13B25">
        <w:rPr>
          <w:rFonts w:cstheme="minorHAnsi"/>
          <w:color w:val="000000" w:themeColor="text1"/>
        </w:rPr>
        <w:t>për</w:t>
      </w:r>
      <w:proofErr w:type="spellEnd"/>
      <w:r w:rsidRPr="00C13B25">
        <w:rPr>
          <w:rFonts w:cstheme="minorHAnsi"/>
          <w:color w:val="000000" w:themeColor="text1"/>
        </w:rPr>
        <w:t xml:space="preserve">  </w:t>
      </w:r>
      <w:proofErr w:type="spellStart"/>
      <w:r w:rsidRPr="00C13B25">
        <w:rPr>
          <w:rFonts w:cstheme="minorHAnsi"/>
          <w:color w:val="000000" w:themeColor="text1"/>
        </w:rPr>
        <w:t>këtë</w:t>
      </w:r>
      <w:proofErr w:type="spellEnd"/>
      <w:proofErr w:type="gram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periudhë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është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r w:rsidR="00322314">
        <w:rPr>
          <w:rFonts w:cstheme="minorHAnsi"/>
          <w:color w:val="000000" w:themeColor="text1"/>
        </w:rPr>
        <w:t xml:space="preserve"> </w:t>
      </w:r>
      <w:proofErr w:type="spellStart"/>
      <w:r w:rsidR="00322314">
        <w:rPr>
          <w:rFonts w:cstheme="minorHAnsi"/>
          <w:color w:val="000000" w:themeColor="text1"/>
        </w:rPr>
        <w:t>realizuar</w:t>
      </w:r>
      <w:proofErr w:type="spellEnd"/>
      <w:r w:rsidR="00322314">
        <w:rPr>
          <w:rFonts w:cstheme="minorHAnsi"/>
          <w:color w:val="000000" w:themeColor="text1"/>
        </w:rPr>
        <w:t xml:space="preserve"> </w:t>
      </w:r>
      <w:r w:rsidRPr="00C13B25">
        <w:rPr>
          <w:rFonts w:cstheme="minorHAnsi"/>
          <w:color w:val="000000" w:themeColor="text1"/>
        </w:rPr>
        <w:t xml:space="preserve">me </w:t>
      </w:r>
      <w:r w:rsidR="00322314">
        <w:rPr>
          <w:rFonts w:cstheme="minorHAnsi"/>
          <w:b/>
          <w:color w:val="000000" w:themeColor="text1"/>
        </w:rPr>
        <w:t>35.22</w:t>
      </w:r>
      <w:r w:rsidR="003C1F2D" w:rsidRPr="00807DB8">
        <w:rPr>
          <w:rFonts w:cstheme="minorHAnsi"/>
          <w:b/>
          <w:color w:val="000000" w:themeColor="text1"/>
        </w:rPr>
        <w:t xml:space="preserve"> %</w:t>
      </w:r>
      <w:r w:rsidR="003C1F2D" w:rsidRPr="00C13B25">
        <w:rPr>
          <w:rFonts w:cstheme="minorHAnsi"/>
          <w:color w:val="000000" w:themeColor="text1"/>
        </w:rPr>
        <w:t xml:space="preserve"> </w:t>
      </w:r>
      <w:proofErr w:type="spellStart"/>
      <w:r w:rsidR="003C1F2D" w:rsidRPr="00C13B25">
        <w:rPr>
          <w:rFonts w:cstheme="minorHAnsi"/>
          <w:color w:val="000000" w:themeColor="text1"/>
        </w:rPr>
        <w:t>në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</w:t>
      </w:r>
      <w:proofErr w:type="spellStart"/>
      <w:r w:rsidR="003C1F2D" w:rsidRPr="00C13B25">
        <w:rPr>
          <w:rFonts w:cstheme="minorHAnsi"/>
          <w:color w:val="000000" w:themeColor="text1"/>
        </w:rPr>
        <w:t>raport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me </w:t>
      </w:r>
      <w:proofErr w:type="spellStart"/>
      <w:r w:rsidR="003C1F2D" w:rsidRPr="00C13B25">
        <w:rPr>
          <w:rFonts w:cstheme="minorHAnsi"/>
          <w:color w:val="000000" w:themeColor="text1"/>
        </w:rPr>
        <w:t>Buxhetin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</w:t>
      </w:r>
      <w:proofErr w:type="spellStart"/>
      <w:r w:rsidR="00322314">
        <w:rPr>
          <w:rFonts w:cstheme="minorHAnsi"/>
          <w:color w:val="000000" w:themeColor="text1"/>
        </w:rPr>
        <w:t>aktual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apo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shuma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r w:rsidR="00322314">
        <w:rPr>
          <w:rFonts w:cstheme="minorHAnsi"/>
          <w:b/>
          <w:color w:val="000000" w:themeColor="text1"/>
        </w:rPr>
        <w:t>4,514,500.76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ndërsa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krahasuar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më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periudhën</w:t>
      </w:r>
      <w:proofErr w:type="spellEnd"/>
      <w:r w:rsidRPr="00C13B25">
        <w:rPr>
          <w:rFonts w:cstheme="minorHAnsi"/>
          <w:color w:val="000000" w:themeColor="text1"/>
        </w:rPr>
        <w:t xml:space="preserve"> e  </w:t>
      </w:r>
      <w:proofErr w:type="spellStart"/>
      <w:r w:rsidRPr="00C13B25">
        <w:rPr>
          <w:rFonts w:cstheme="minorHAnsi"/>
          <w:color w:val="000000" w:themeColor="text1"/>
        </w:rPr>
        <w:t>njëjtë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të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Pr="00C13B25">
        <w:rPr>
          <w:rFonts w:cstheme="minorHAnsi"/>
          <w:color w:val="000000" w:themeColor="text1"/>
        </w:rPr>
        <w:t>vitit</w:t>
      </w:r>
      <w:proofErr w:type="spellEnd"/>
      <w:r w:rsidRPr="00C13B25">
        <w:rPr>
          <w:rFonts w:cstheme="minorHAnsi"/>
          <w:color w:val="000000" w:themeColor="text1"/>
        </w:rPr>
        <w:t xml:space="preserve"> </w:t>
      </w:r>
      <w:proofErr w:type="spellStart"/>
      <w:r w:rsidR="00807DB8">
        <w:rPr>
          <w:rFonts w:cstheme="minorHAnsi"/>
          <w:color w:val="000000" w:themeColor="text1"/>
        </w:rPr>
        <w:t>paraprak</w:t>
      </w:r>
      <w:proofErr w:type="spellEnd"/>
      <w:r w:rsidR="00807DB8">
        <w:rPr>
          <w:rFonts w:cstheme="minorHAnsi"/>
          <w:color w:val="000000" w:themeColor="text1"/>
        </w:rPr>
        <w:t xml:space="preserve">  </w:t>
      </w:r>
      <w:proofErr w:type="spellStart"/>
      <w:r w:rsidR="003C1F2D" w:rsidRPr="00C13B25">
        <w:rPr>
          <w:rFonts w:cstheme="minorHAnsi"/>
          <w:color w:val="000000" w:themeColor="text1"/>
        </w:rPr>
        <w:t>kemi</w:t>
      </w:r>
      <w:proofErr w:type="spellEnd"/>
      <w:r w:rsidR="003C1F2D" w:rsidRPr="00C13B25">
        <w:rPr>
          <w:rFonts w:cstheme="minorHAnsi"/>
          <w:color w:val="000000" w:themeColor="text1"/>
        </w:rPr>
        <w:t xml:space="preserve">  </w:t>
      </w:r>
      <w:proofErr w:type="spellStart"/>
      <w:r w:rsidR="00C13B25" w:rsidRPr="00C13B25">
        <w:rPr>
          <w:rFonts w:cstheme="minorHAnsi"/>
          <w:color w:val="000000" w:themeColor="text1"/>
        </w:rPr>
        <w:t>shkallën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e </w:t>
      </w:r>
      <w:proofErr w:type="spellStart"/>
      <w:r w:rsidR="00C13B25" w:rsidRPr="00C13B25">
        <w:rPr>
          <w:rFonts w:cstheme="minorHAnsi"/>
          <w:color w:val="000000" w:themeColor="text1"/>
        </w:rPr>
        <w:t>shpenzimit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r w:rsidR="00F02DF0">
        <w:rPr>
          <w:rFonts w:cstheme="minorHAnsi"/>
          <w:b/>
          <w:color w:val="000000" w:themeColor="text1"/>
        </w:rPr>
        <w:t>11.46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3569C4">
        <w:rPr>
          <w:rFonts w:cstheme="minorHAnsi"/>
          <w:color w:val="000000" w:themeColor="text1"/>
        </w:rPr>
        <w:t xml:space="preserve"> </w:t>
      </w:r>
      <w:proofErr w:type="spellStart"/>
      <w:r w:rsidR="003569C4">
        <w:rPr>
          <w:rFonts w:cstheme="minorHAnsi"/>
          <w:color w:val="000000" w:themeColor="text1"/>
        </w:rPr>
        <w:t>më</w:t>
      </w:r>
      <w:proofErr w:type="spellEnd"/>
      <w:r w:rsidR="003569C4">
        <w:rPr>
          <w:rFonts w:cstheme="minorHAnsi"/>
          <w:color w:val="000000" w:themeColor="text1"/>
        </w:rPr>
        <w:t xml:space="preserve"> </w:t>
      </w:r>
      <w:proofErr w:type="spellStart"/>
      <w:r w:rsidR="003569C4">
        <w:rPr>
          <w:rFonts w:cstheme="minorHAnsi"/>
          <w:color w:val="000000" w:themeColor="text1"/>
        </w:rPr>
        <w:t>shumë</w:t>
      </w:r>
      <w:proofErr w:type="spellEnd"/>
      <w:r w:rsidR="003569C4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apo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shumën</w:t>
      </w:r>
      <w:proofErr w:type="spellEnd"/>
      <w:r w:rsidR="00C13B25" w:rsidRPr="00C13B25">
        <w:rPr>
          <w:rFonts w:cstheme="minorHAnsi"/>
          <w:color w:val="000000" w:themeColor="text1"/>
        </w:rPr>
        <w:t xml:space="preserve"> </w:t>
      </w:r>
      <w:proofErr w:type="spellStart"/>
      <w:r w:rsidR="00C13B25" w:rsidRPr="00C13B25">
        <w:rPr>
          <w:rFonts w:cstheme="minorHAnsi"/>
          <w:color w:val="000000" w:themeColor="text1"/>
        </w:rPr>
        <w:t>prej</w:t>
      </w:r>
      <w:proofErr w:type="spellEnd"/>
      <w:r w:rsidR="00C13B25">
        <w:rPr>
          <w:rFonts w:cstheme="minorHAnsi"/>
          <w:color w:val="000000" w:themeColor="text1"/>
        </w:rPr>
        <w:t>:</w:t>
      </w:r>
      <w:r w:rsidR="00C549D1">
        <w:rPr>
          <w:rFonts w:cstheme="minorHAnsi"/>
          <w:color w:val="000000" w:themeColor="text1"/>
        </w:rPr>
        <w:t xml:space="preserve"> </w:t>
      </w:r>
      <w:r w:rsidR="00F02DF0">
        <w:rPr>
          <w:rFonts w:cstheme="minorHAnsi"/>
          <w:b/>
          <w:color w:val="000000" w:themeColor="text1"/>
        </w:rPr>
        <w:t>464,124</w:t>
      </w:r>
      <w:r w:rsidR="003A4A8C">
        <w:rPr>
          <w:rFonts w:cstheme="minorHAnsi"/>
          <w:b/>
          <w:color w:val="000000" w:themeColor="text1"/>
        </w:rPr>
        <w:t>.11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4A1CE0" w:rsidRDefault="00866AC5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866AC5">
        <w:rPr>
          <w:noProof/>
        </w:rPr>
        <w:drawing>
          <wp:inline distT="0" distB="0" distL="0" distR="0">
            <wp:extent cx="6858000" cy="19687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6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6C40F9" w:rsidRPr="00C764D1" w:rsidRDefault="006C40F9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</w:p>
    <w:p w:rsidR="00CB3057" w:rsidRPr="007D765F" w:rsidRDefault="007D765F" w:rsidP="006C40F9">
      <w:pPr>
        <w:autoSpaceDE w:val="0"/>
        <w:autoSpaceDN w:val="0"/>
        <w:adjustRightInd w:val="0"/>
        <w:spacing w:after="0"/>
        <w:rPr>
          <w:rFonts w:ascii="Segoe UI Symbol" w:hAnsi="Segoe UI Symbol" w:cstheme="minorHAnsi"/>
          <w:b/>
          <w:noProof/>
          <w:color w:val="000000"/>
          <w:lang w:eastAsia="ja-JP"/>
        </w:rPr>
      </w:pPr>
      <w:r w:rsidRPr="007D765F">
        <w:rPr>
          <w:rFonts w:cstheme="minorHAnsi"/>
          <w:b/>
          <w:noProof/>
          <w:color w:val="000000"/>
        </w:rPr>
        <w:t xml:space="preserve">Tabela e planifikimit të ndarjeve buxhetore sipas Drejtorive apo </w:t>
      </w:r>
      <w:r w:rsidR="00E3645E">
        <w:rPr>
          <w:rFonts w:cstheme="minorHAnsi"/>
          <w:b/>
          <w:noProof/>
          <w:color w:val="000000"/>
        </w:rPr>
        <w:t>P</w:t>
      </w:r>
      <w:r w:rsidRPr="007D765F">
        <w:rPr>
          <w:rFonts w:cstheme="minorHAnsi"/>
          <w:b/>
          <w:noProof/>
          <w:color w:val="000000"/>
        </w:rPr>
        <w:t>rogrameve Buxhetore</w:t>
      </w:r>
      <w:r>
        <w:rPr>
          <w:rFonts w:cstheme="minorHAnsi"/>
          <w:b/>
          <w:noProof/>
          <w:color w:val="000000"/>
        </w:rPr>
        <w:t xml:space="preserve"> për vitin 2024:</w:t>
      </w:r>
    </w:p>
    <w:p w:rsidR="00247AE3" w:rsidRPr="007D765F" w:rsidRDefault="007D765F" w:rsidP="007D765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63B7A4C" wp14:editId="6862CC9A">
            <wp:extent cx="6858000" cy="3445510"/>
            <wp:effectExtent l="0" t="0" r="0" b="2540"/>
            <wp:docPr id="18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425929" w:rsidRDefault="00425929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F80963" w:rsidRDefault="00F80963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C776C" w:rsidRDefault="00E3645E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Tabela në </w:t>
      </w:r>
      <w:r w:rsidR="00EA162D">
        <w:rPr>
          <w:b/>
          <w:bCs/>
          <w:lang w:val="sq-AL"/>
        </w:rPr>
        <w:t xml:space="preserve">vijim </w:t>
      </w:r>
      <w:r>
        <w:rPr>
          <w:b/>
          <w:bCs/>
          <w:lang w:val="sq-AL"/>
        </w:rPr>
        <w:t xml:space="preserve">paraqet shpenzimin sipas Programeve Buxhetore </w:t>
      </w:r>
      <w:r w:rsidR="00CB3057" w:rsidRPr="00EA162D">
        <w:rPr>
          <w:b/>
          <w:bCs/>
          <w:lang w:val="sq-AL"/>
        </w:rPr>
        <w:t>dhe</w:t>
      </w:r>
      <w:r>
        <w:rPr>
          <w:b/>
          <w:bCs/>
          <w:lang w:val="sq-AL"/>
        </w:rPr>
        <w:t xml:space="preserve"> </w:t>
      </w:r>
      <w:r w:rsidR="006C40F9">
        <w:rPr>
          <w:b/>
          <w:bCs/>
          <w:lang w:val="sq-AL"/>
        </w:rPr>
        <w:t xml:space="preserve">atë sipas </w:t>
      </w:r>
      <w:proofErr w:type="spellStart"/>
      <w:r w:rsidR="006C40F9">
        <w:rPr>
          <w:b/>
          <w:bCs/>
          <w:lang w:val="sq-AL"/>
        </w:rPr>
        <w:t>K.Ekonomike</w:t>
      </w:r>
      <w:proofErr w:type="spellEnd"/>
      <w:r w:rsidR="006C40F9">
        <w:rPr>
          <w:b/>
          <w:bCs/>
          <w:lang w:val="sq-AL"/>
        </w:rPr>
        <w:t xml:space="preserve"> Janar-Qershor</w:t>
      </w:r>
      <w:r>
        <w:rPr>
          <w:b/>
          <w:bCs/>
          <w:lang w:val="sq-AL"/>
        </w:rPr>
        <w:t xml:space="preserve"> 2024:</w:t>
      </w:r>
    </w:p>
    <w:p w:rsidR="00F80963" w:rsidRPr="004E2546" w:rsidRDefault="00F80963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F80963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F80963">
        <w:rPr>
          <w:noProof/>
        </w:rPr>
        <w:drawing>
          <wp:inline distT="0" distB="0" distL="0" distR="0">
            <wp:extent cx="6858000" cy="33779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F02851" w:rsidRDefault="00C91DAC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 </w:t>
      </w:r>
    </w:p>
    <w:p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0A7AAD" w:rsidRPr="000A7AAD" w:rsidRDefault="000A7AAD" w:rsidP="000A7AAD">
      <w:pPr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  <w:sectPr w:rsidR="000A7AAD" w:rsidRPr="000A7AAD" w:rsidSect="00D93B44">
          <w:footerReference w:type="default" r:id="rId16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700604" w:rsidRPr="000A7AAD" w:rsidRDefault="00E224B7" w:rsidP="0026123C">
      <w:pPr>
        <w:jc w:val="center"/>
        <w:sectPr w:rsidR="00700604" w:rsidRPr="000A7AAD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E224B7">
        <w:rPr>
          <w:noProof/>
        </w:rPr>
        <w:lastRenderedPageBreak/>
        <w:drawing>
          <wp:inline distT="0" distB="0" distL="0" distR="0">
            <wp:extent cx="9143365" cy="60277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641" cy="603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A3" w:rsidRDefault="009530A3" w:rsidP="008F7569">
      <w:pPr>
        <w:tabs>
          <w:tab w:val="left" w:pos="726"/>
        </w:tabs>
      </w:pPr>
    </w:p>
    <w:p w:rsidR="00D961B1" w:rsidRDefault="00623DD2" w:rsidP="009530A3">
      <w:pPr>
        <w:rPr>
          <w:b/>
        </w:rPr>
      </w:pPr>
      <w:r>
        <w:rPr>
          <w:b/>
        </w:rPr>
        <w:t>SHPALOSJA E SHPENZIMEVE SIPAS KODEVE EKONOMIKE</w:t>
      </w:r>
      <w:r w:rsidR="009530A3" w:rsidRPr="009530A3">
        <w:rPr>
          <w:b/>
        </w:rPr>
        <w:t>:</w:t>
      </w:r>
    </w:p>
    <w:p w:rsidR="00623DD2" w:rsidRPr="00D961B1" w:rsidRDefault="00623DD2" w:rsidP="00D961B1">
      <w:pPr>
        <w:jc w:val="both"/>
        <w:rPr>
          <w:b/>
        </w:rPr>
      </w:pPr>
      <w:proofErr w:type="gramStart"/>
      <w:r>
        <w:rPr>
          <w:b/>
        </w:rPr>
        <w:t xml:space="preserve">KODI 13440 - </w:t>
      </w:r>
      <w:r w:rsidRPr="00623DD2">
        <w:rPr>
          <w:b/>
        </w:rPr>
        <w:t>SHERBIMET KESHILLDHENESE DHE PROFESIONALE</w:t>
      </w:r>
      <w:r>
        <w:rPr>
          <w:b/>
        </w:rPr>
        <w:t xml:space="preserve">:  </w:t>
      </w:r>
      <w:r w:rsidR="00D961B1">
        <w:rPr>
          <w:b/>
        </w:rP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A</w:t>
      </w:r>
      <w:r w:rsidRPr="00623DD2">
        <w:t>dministratoreve</w:t>
      </w:r>
      <w:proofErr w:type="spellEnd"/>
      <w:r w:rsidRPr="00623DD2">
        <w:t xml:space="preserve"> </w:t>
      </w:r>
      <w:proofErr w:type="spellStart"/>
      <w:r w:rsidRPr="00623DD2">
        <w:t>te</w:t>
      </w:r>
      <w:proofErr w:type="spellEnd"/>
      <w:r w:rsidRPr="00623DD2">
        <w:t xml:space="preserve"> </w:t>
      </w:r>
      <w:proofErr w:type="spellStart"/>
      <w:r w:rsidRPr="00623DD2">
        <w:t>fshatrave</w:t>
      </w:r>
      <w:proofErr w:type="spellEnd"/>
      <w:r w:rsidRPr="00623DD2">
        <w:t xml:space="preserve"> ne </w:t>
      </w:r>
      <w:proofErr w:type="spellStart"/>
      <w:r w:rsidRPr="00623DD2">
        <w:t>shume</w:t>
      </w:r>
      <w:proofErr w:type="spellEnd"/>
      <w:r w:rsidRPr="00623DD2">
        <w:t xml:space="preserve"> </w:t>
      </w:r>
      <w:proofErr w:type="spellStart"/>
      <w:r w:rsidRPr="00623DD2">
        <w:t>prej</w:t>
      </w:r>
      <w:proofErr w:type="spellEnd"/>
      <w:r w:rsidRPr="00623DD2">
        <w:t xml:space="preserve"> 8,467.20 </w:t>
      </w:r>
      <w:r>
        <w:t xml:space="preserve">euro </w:t>
      </w:r>
      <w:proofErr w:type="spellStart"/>
      <w:r w:rsidRPr="00623DD2">
        <w:t>te</w:t>
      </w:r>
      <w:proofErr w:type="spellEnd"/>
      <w:r w:rsidRPr="00623DD2">
        <w:t xml:space="preserve"> </w:t>
      </w:r>
      <w:proofErr w:type="spellStart"/>
      <w:r w:rsidRPr="00623DD2">
        <w:t>kompensuara</w:t>
      </w:r>
      <w:proofErr w:type="spellEnd"/>
      <w:r w:rsidRPr="00623DD2">
        <w:t xml:space="preserve"> </w:t>
      </w:r>
      <w:proofErr w:type="spellStart"/>
      <w:r w:rsidRPr="00623DD2">
        <w:t>nga</w:t>
      </w:r>
      <w:proofErr w:type="spellEnd"/>
      <w:r w:rsidRPr="00623DD2">
        <w:t xml:space="preserve"> </w:t>
      </w:r>
      <w:proofErr w:type="spellStart"/>
      <w:r w:rsidRPr="00623DD2">
        <w:t>Drejtoria</w:t>
      </w:r>
      <w:proofErr w:type="spellEnd"/>
      <w:r w:rsidRPr="00623DD2">
        <w:t xml:space="preserve"> </w:t>
      </w:r>
      <w:r>
        <w:t>e Adminis</w:t>
      </w:r>
      <w:r w:rsidR="003D0F9C">
        <w:t xml:space="preserve">trates se </w:t>
      </w:r>
      <w:proofErr w:type="spellStart"/>
      <w:r w:rsidR="003D0F9C">
        <w:t>Pergjithshme</w:t>
      </w:r>
      <w:proofErr w:type="spellEnd"/>
      <w:r w:rsidR="003D0F9C">
        <w:t xml:space="preserve">, </w:t>
      </w:r>
      <w:proofErr w:type="spellStart"/>
      <w:r w:rsidR="003D0F9C">
        <w:t>shuma</w:t>
      </w:r>
      <w:proofErr w:type="spellEnd"/>
      <w:r w:rsidR="003D0F9C">
        <w:t xml:space="preserve"> </w:t>
      </w:r>
      <w:proofErr w:type="spellStart"/>
      <w:r w:rsidR="003D0F9C">
        <w:t>prej</w:t>
      </w:r>
      <w:proofErr w:type="spellEnd"/>
      <w:r w:rsidR="003D0F9C">
        <w:t xml:space="preserve"> 1,383.00 euro </w:t>
      </w:r>
      <w:proofErr w:type="spellStart"/>
      <w:r w:rsidR="003D0F9C">
        <w:t>nga</w:t>
      </w:r>
      <w:proofErr w:type="spellEnd"/>
      <w:r w:rsidR="003D0F9C">
        <w:t xml:space="preserve"> </w:t>
      </w:r>
      <w:proofErr w:type="spellStart"/>
      <w:r w:rsidR="003D0F9C">
        <w:t>Zyra</w:t>
      </w:r>
      <w:proofErr w:type="spellEnd"/>
      <w:r w:rsidR="003D0F9C">
        <w:t xml:space="preserve"> e </w:t>
      </w:r>
      <w:proofErr w:type="spellStart"/>
      <w:r w:rsidR="003D0F9C">
        <w:t>Kryetarit</w:t>
      </w:r>
      <w:proofErr w:type="spellEnd"/>
      <w:r w:rsidR="003D0F9C">
        <w:t xml:space="preserve"> </w:t>
      </w:r>
      <w:proofErr w:type="spellStart"/>
      <w:r w:rsidR="003D0F9C">
        <w:t>për</w:t>
      </w:r>
      <w:proofErr w:type="spellEnd"/>
      <w:r w:rsidR="003D0F9C">
        <w:t xml:space="preserve"> </w:t>
      </w:r>
      <w:proofErr w:type="spellStart"/>
      <w:r w:rsidR="003D0F9C">
        <w:t>kompensimin</w:t>
      </w:r>
      <w:proofErr w:type="spellEnd"/>
      <w:r w:rsidR="003D0F9C">
        <w:t xml:space="preserve"> e </w:t>
      </w:r>
      <w:proofErr w:type="spellStart"/>
      <w:r w:rsidR="003D0F9C">
        <w:t>anëtarëve</w:t>
      </w:r>
      <w:proofErr w:type="spellEnd"/>
      <w:r w:rsidR="003D0F9C">
        <w:t xml:space="preserve"> </w:t>
      </w:r>
      <w:proofErr w:type="spellStart"/>
      <w:r w:rsidR="003D0F9C">
        <w:t>të</w:t>
      </w:r>
      <w:proofErr w:type="spellEnd"/>
      <w:r w:rsidR="003D0F9C">
        <w:t xml:space="preserve"> </w:t>
      </w:r>
      <w:proofErr w:type="spellStart"/>
      <w:r w:rsidR="003D0F9C">
        <w:t>Komitetit</w:t>
      </w:r>
      <w:proofErr w:type="spellEnd"/>
      <w:r w:rsidR="003D0F9C">
        <w:t xml:space="preserve"> </w:t>
      </w:r>
      <w:proofErr w:type="spellStart"/>
      <w:r w:rsidR="003D0F9C">
        <w:t>të</w:t>
      </w:r>
      <w:proofErr w:type="spellEnd"/>
      <w:r w:rsidR="003D0F9C">
        <w:t xml:space="preserve"> </w:t>
      </w:r>
      <w:proofErr w:type="spellStart"/>
      <w:r w:rsidR="003D0F9C">
        <w:t>Auditimit</w:t>
      </w:r>
      <w:proofErr w:type="spellEnd"/>
      <w:r w:rsidR="003D0F9C">
        <w:t xml:space="preserve">, </w:t>
      </w:r>
      <w:proofErr w:type="spellStart"/>
      <w:r w:rsidR="003D0F9C">
        <w:t>anëtarëve</w:t>
      </w:r>
      <w:proofErr w:type="spellEnd"/>
      <w:r w:rsidR="003D0F9C">
        <w:t xml:space="preserve"> </w:t>
      </w:r>
      <w:proofErr w:type="spellStart"/>
      <w:r w:rsidR="003D0F9C">
        <w:t>të</w:t>
      </w:r>
      <w:proofErr w:type="spellEnd"/>
      <w:r w:rsidR="003D0F9C">
        <w:t xml:space="preserve"> KKSB-</w:t>
      </w:r>
      <w:proofErr w:type="spellStart"/>
      <w:r w:rsidR="003D0F9C">
        <w:t>ës</w:t>
      </w:r>
      <w:proofErr w:type="spellEnd"/>
      <w:r w:rsidR="003D0F9C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shuma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1,900.00 euro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Kultures</w:t>
      </w:r>
      <w:proofErr w:type="spellEnd"/>
      <w:r>
        <w:t xml:space="preserve">, </w:t>
      </w:r>
      <w:proofErr w:type="spellStart"/>
      <w:r>
        <w:t>Rinisë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kompensimin</w:t>
      </w:r>
      <w:proofErr w:type="spellEnd"/>
      <w:r>
        <w:t xml:space="preserve"> e </w:t>
      </w:r>
      <w:proofErr w:type="spellStart"/>
      <w:r w:rsidR="009A1D7D">
        <w:t>anëtarëve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komisioneve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themeluara</w:t>
      </w:r>
      <w:proofErr w:type="spellEnd"/>
      <w:r w:rsidR="009A1D7D">
        <w:t xml:space="preserve"> </w:t>
      </w:r>
      <w:proofErr w:type="spellStart"/>
      <w:r w:rsidR="009A1D7D">
        <w:t>për</w:t>
      </w:r>
      <w:proofErr w:type="spellEnd"/>
      <w:r w:rsidR="009A1D7D">
        <w:t xml:space="preserve"> </w:t>
      </w:r>
      <w:proofErr w:type="spellStart"/>
      <w:r w:rsidR="009A1D7D">
        <w:t>vlerësim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</w:t>
      </w:r>
      <w:proofErr w:type="spellStart"/>
      <w:r w:rsidR="009A1D7D">
        <w:t>aplikacioneve</w:t>
      </w:r>
      <w:proofErr w:type="spellEnd"/>
      <w:r w:rsidR="009A1D7D">
        <w:t xml:space="preserve"> </w:t>
      </w:r>
      <w:proofErr w:type="spellStart"/>
      <w:r w:rsidR="009A1D7D">
        <w:t>për</w:t>
      </w:r>
      <w:proofErr w:type="spellEnd"/>
      <w:r w:rsidR="009A1D7D">
        <w:t xml:space="preserve"> </w:t>
      </w:r>
      <w:proofErr w:type="spellStart"/>
      <w:r w:rsidR="009A1D7D">
        <w:t>financim</w:t>
      </w:r>
      <w:proofErr w:type="spellEnd"/>
      <w:r w:rsidR="009A1D7D">
        <w:t xml:space="preserve"> </w:t>
      </w:r>
      <w:proofErr w:type="spellStart"/>
      <w:r w:rsidR="009A1D7D">
        <w:t>të</w:t>
      </w:r>
      <w:proofErr w:type="spellEnd"/>
      <w:r w:rsidR="009A1D7D">
        <w:t xml:space="preserve"> OJQ-</w:t>
      </w:r>
      <w:proofErr w:type="spellStart"/>
      <w:r w:rsidR="009A1D7D">
        <w:t>ve</w:t>
      </w:r>
      <w:proofErr w:type="spellEnd"/>
      <w:r w:rsidR="009A1D7D">
        <w:t xml:space="preserve"> </w:t>
      </w:r>
      <w:proofErr w:type="spellStart"/>
      <w:r w:rsidR="009A1D7D">
        <w:t>te</w:t>
      </w:r>
      <w:proofErr w:type="spellEnd"/>
      <w:r w:rsidR="009A1D7D">
        <w:t xml:space="preserve"> </w:t>
      </w:r>
      <w:proofErr w:type="spellStart"/>
      <w:r w:rsidR="009A1D7D">
        <w:t>ndryshme</w:t>
      </w:r>
      <w:proofErr w:type="spellEnd"/>
      <w:r w:rsidR="009A1D7D">
        <w:t>.</w:t>
      </w:r>
      <w:proofErr w:type="gramEnd"/>
      <w:r w:rsidR="009A1D7D">
        <w:t xml:space="preserve"> </w:t>
      </w:r>
    </w:p>
    <w:p w:rsidR="00A059BA" w:rsidRPr="00D961B1" w:rsidRDefault="0009495B" w:rsidP="00D961B1">
      <w:pPr>
        <w:jc w:val="both"/>
        <w:rPr>
          <w:b/>
        </w:rPr>
      </w:pPr>
      <w:r w:rsidRPr="0009495B">
        <w:rPr>
          <w:b/>
        </w:rPr>
        <w:t>KODI 13475</w:t>
      </w:r>
      <w:r>
        <w:t xml:space="preserve"> - </w:t>
      </w:r>
      <w:r w:rsidR="00794D5A" w:rsidRPr="00794D5A">
        <w:rPr>
          <w:b/>
        </w:rPr>
        <w:t xml:space="preserve">SIGURIMI FIZIK I OBJEKTEVE: </w:t>
      </w:r>
      <w:r w:rsidR="00D961B1">
        <w:rPr>
          <w:b/>
        </w:rPr>
        <w:t xml:space="preserve"> </w:t>
      </w:r>
      <w:r w:rsidR="001579CE">
        <w:t xml:space="preserve">Deri ne </w:t>
      </w:r>
      <w:proofErr w:type="spellStart"/>
      <w:r w:rsidR="001579CE">
        <w:t>vitin</w:t>
      </w:r>
      <w:proofErr w:type="spellEnd"/>
      <w:r w:rsidR="001579CE">
        <w:t xml:space="preserve"> 2023 </w:t>
      </w:r>
      <w:proofErr w:type="spellStart"/>
      <w:r w:rsidR="001579CE">
        <w:t>shpenzimet</w:t>
      </w:r>
      <w:proofErr w:type="spellEnd"/>
      <w:r w:rsidR="001579CE">
        <w:t xml:space="preserve"> </w:t>
      </w:r>
      <w:proofErr w:type="spellStart"/>
      <w:r w:rsidR="001579CE">
        <w:t>pë</w:t>
      </w:r>
      <w:r w:rsidR="00794D5A" w:rsidRPr="00794D5A">
        <w:t>r</w:t>
      </w:r>
      <w:proofErr w:type="spellEnd"/>
      <w:r w:rsidR="00794D5A" w:rsidRPr="00794D5A">
        <w:t xml:space="preserve"> </w:t>
      </w:r>
      <w:proofErr w:type="spellStart"/>
      <w:r w:rsidR="00794D5A" w:rsidRPr="00794D5A">
        <w:t>s</w:t>
      </w:r>
      <w:r w:rsidR="001579CE">
        <w:t>igurimin</w:t>
      </w:r>
      <w:proofErr w:type="spellEnd"/>
      <w:r w:rsidR="001579CE">
        <w:t xml:space="preserve"> </w:t>
      </w:r>
      <w:proofErr w:type="spellStart"/>
      <w:r w:rsidR="001579CE">
        <w:t>fizik</w:t>
      </w:r>
      <w:proofErr w:type="spellEnd"/>
      <w:r w:rsidR="001579CE">
        <w:t xml:space="preserve"> </w:t>
      </w:r>
      <w:proofErr w:type="spellStart"/>
      <w:proofErr w:type="gramStart"/>
      <w:r w:rsidR="001579CE">
        <w:t>te</w:t>
      </w:r>
      <w:proofErr w:type="spellEnd"/>
      <w:proofErr w:type="gramEnd"/>
      <w:r w:rsidR="001579CE">
        <w:t xml:space="preserve"> </w:t>
      </w:r>
      <w:proofErr w:type="spellStart"/>
      <w:r w:rsidR="001579CE">
        <w:t>objekteve</w:t>
      </w:r>
      <w:proofErr w:type="spellEnd"/>
      <w:r w:rsidR="001579CE">
        <w:t xml:space="preserve"> </w:t>
      </w:r>
      <w:proofErr w:type="spellStart"/>
      <w:r w:rsidR="001579CE">
        <w:t>kanë</w:t>
      </w:r>
      <w:proofErr w:type="spellEnd"/>
      <w:r w:rsidR="00794D5A" w:rsidRPr="00794D5A">
        <w:t xml:space="preserve"> </w:t>
      </w:r>
      <w:proofErr w:type="spellStart"/>
      <w:r w:rsidR="00794D5A" w:rsidRPr="00794D5A">
        <w:t>qenë</w:t>
      </w:r>
      <w:proofErr w:type="spellEnd"/>
      <w:r w:rsidR="00794D5A" w:rsidRPr="00794D5A">
        <w:t xml:space="preserve"> </w:t>
      </w:r>
      <w:proofErr w:type="spellStart"/>
      <w:r w:rsidR="00794D5A" w:rsidRPr="00794D5A">
        <w:t>të</w:t>
      </w:r>
      <w:proofErr w:type="spellEnd"/>
      <w:r w:rsidR="00794D5A" w:rsidRPr="00794D5A">
        <w:t xml:space="preserve"> </w:t>
      </w:r>
      <w:proofErr w:type="spellStart"/>
      <w:r w:rsidR="00794D5A" w:rsidRPr="00794D5A">
        <w:t>përfshira</w:t>
      </w:r>
      <w:proofErr w:type="spellEnd"/>
      <w:r w:rsidR="00794D5A" w:rsidRPr="00794D5A">
        <w:t xml:space="preserve"> </w:t>
      </w:r>
      <w:proofErr w:type="spellStart"/>
      <w:r w:rsidR="00794D5A" w:rsidRPr="00794D5A">
        <w:t>në</w:t>
      </w:r>
      <w:proofErr w:type="spellEnd"/>
      <w:r w:rsidR="00794D5A" w:rsidRPr="00794D5A">
        <w:t xml:space="preserve"> </w:t>
      </w:r>
      <w:proofErr w:type="spellStart"/>
      <w:r w:rsidR="00794D5A" w:rsidRPr="00794D5A">
        <w:t>kodin</w:t>
      </w:r>
      <w:proofErr w:type="spellEnd"/>
      <w:r w:rsidR="00794D5A" w:rsidRPr="00794D5A">
        <w:t xml:space="preserve"> </w:t>
      </w:r>
      <w:r w:rsidR="00794D5A">
        <w:t xml:space="preserve">13460 </w:t>
      </w:r>
      <w:proofErr w:type="spellStart"/>
      <w:r w:rsidR="00794D5A">
        <w:t>t</w:t>
      </w:r>
      <w:r w:rsidR="00794D5A" w:rsidRPr="00794D5A">
        <w:t>e</w:t>
      </w:r>
      <w:proofErr w:type="spellEnd"/>
      <w:r w:rsidR="00794D5A" w:rsidRPr="00794D5A">
        <w:t xml:space="preserve"> </w:t>
      </w:r>
      <w:proofErr w:type="spellStart"/>
      <w:r w:rsidR="00794D5A" w:rsidRPr="00794D5A">
        <w:t>sherbimeve</w:t>
      </w:r>
      <w:proofErr w:type="spellEnd"/>
      <w:r w:rsidR="00794D5A" w:rsidRPr="00794D5A">
        <w:t xml:space="preserve"> </w:t>
      </w:r>
      <w:proofErr w:type="spellStart"/>
      <w:r w:rsidR="00794D5A" w:rsidRPr="00794D5A">
        <w:t>kontrakuese</w:t>
      </w:r>
      <w:proofErr w:type="spellEnd"/>
      <w:r w:rsidR="00794D5A" w:rsidRPr="00794D5A">
        <w:t xml:space="preserve"> </w:t>
      </w:r>
      <w:proofErr w:type="spellStart"/>
      <w:r w:rsidR="00794D5A" w:rsidRPr="00794D5A">
        <w:t>tjera</w:t>
      </w:r>
      <w:proofErr w:type="spellEnd"/>
      <w:r w:rsidR="00794D5A" w:rsidRPr="00794D5A">
        <w:t xml:space="preserve">. </w:t>
      </w:r>
      <w:proofErr w:type="spellStart"/>
      <w:r w:rsidR="00794D5A">
        <w:t>Ndersa</w:t>
      </w:r>
      <w:proofErr w:type="spellEnd"/>
      <w:r w:rsidR="00794D5A">
        <w:t xml:space="preserve"> </w:t>
      </w:r>
      <w:proofErr w:type="spellStart"/>
      <w:r w:rsidR="00794D5A">
        <w:t>n</w:t>
      </w:r>
      <w:r w:rsidR="00794D5A" w:rsidRPr="00794D5A">
        <w:t>ga</w:t>
      </w:r>
      <w:proofErr w:type="spellEnd"/>
      <w:r w:rsidR="00794D5A" w:rsidRPr="00794D5A">
        <w:t xml:space="preserve"> </w:t>
      </w:r>
      <w:proofErr w:type="spellStart"/>
      <w:r w:rsidR="00794D5A" w:rsidRPr="00794D5A">
        <w:t>viti</w:t>
      </w:r>
      <w:proofErr w:type="spellEnd"/>
      <w:r w:rsidR="00794D5A" w:rsidRPr="00794D5A">
        <w:t xml:space="preserve"> 2024 </w:t>
      </w:r>
      <w:proofErr w:type="spellStart"/>
      <w:r w:rsidR="00794D5A" w:rsidRPr="00794D5A">
        <w:t>Thesari</w:t>
      </w:r>
      <w:proofErr w:type="spellEnd"/>
      <w:r w:rsidR="00794D5A" w:rsidRPr="00794D5A">
        <w:t xml:space="preserve">-MFPT </w:t>
      </w:r>
      <w:proofErr w:type="spellStart"/>
      <w:r w:rsidR="00794D5A" w:rsidRPr="00794D5A">
        <w:t>ka</w:t>
      </w:r>
      <w:proofErr w:type="spellEnd"/>
      <w:r w:rsidR="00794D5A" w:rsidRPr="00794D5A">
        <w:t xml:space="preserve"> </w:t>
      </w:r>
      <w:proofErr w:type="spellStart"/>
      <w:r w:rsidR="00794D5A" w:rsidRPr="00794D5A">
        <w:t>specifikuar</w:t>
      </w:r>
      <w:proofErr w:type="spellEnd"/>
      <w:r w:rsidR="00794D5A" w:rsidRPr="00794D5A">
        <w:t xml:space="preserve"> ne </w:t>
      </w:r>
      <w:proofErr w:type="spellStart"/>
      <w:r w:rsidR="00794D5A" w:rsidRPr="00794D5A">
        <w:t>planin</w:t>
      </w:r>
      <w:proofErr w:type="spellEnd"/>
      <w:r w:rsidR="00794D5A" w:rsidRPr="00794D5A">
        <w:t xml:space="preserve"> e </w:t>
      </w:r>
      <w:proofErr w:type="spellStart"/>
      <w:proofErr w:type="gramStart"/>
      <w:r w:rsidR="00794D5A" w:rsidRPr="00794D5A">
        <w:t>ri</w:t>
      </w:r>
      <w:proofErr w:type="spellEnd"/>
      <w:proofErr w:type="gramEnd"/>
      <w:r w:rsidR="00794D5A" w:rsidRPr="00794D5A">
        <w:t xml:space="preserve"> </w:t>
      </w:r>
      <w:proofErr w:type="spellStart"/>
      <w:r w:rsidR="00794D5A" w:rsidRPr="00794D5A">
        <w:t>kontabël</w:t>
      </w:r>
      <w:proofErr w:type="spellEnd"/>
      <w:r w:rsidR="00794D5A" w:rsidRPr="00794D5A">
        <w:t xml:space="preserve"> </w:t>
      </w:r>
      <w:proofErr w:type="spellStart"/>
      <w:r w:rsidR="00794D5A" w:rsidRPr="00794D5A">
        <w:t>kodin</w:t>
      </w:r>
      <w:proofErr w:type="spellEnd"/>
      <w:r w:rsidR="00794D5A" w:rsidRPr="00794D5A">
        <w:t xml:space="preserve"> e </w:t>
      </w:r>
      <w:proofErr w:type="spellStart"/>
      <w:r w:rsidR="00794D5A" w:rsidRPr="00794D5A">
        <w:t>veçant</w:t>
      </w:r>
      <w:proofErr w:type="spellEnd"/>
      <w:r w:rsidR="00794D5A" w:rsidRPr="00794D5A">
        <w:t xml:space="preserve"> per </w:t>
      </w:r>
      <w:proofErr w:type="spellStart"/>
      <w:r w:rsidR="00794D5A" w:rsidRPr="00794D5A">
        <w:t>sigurimin</w:t>
      </w:r>
      <w:proofErr w:type="spellEnd"/>
      <w:r w:rsidR="00794D5A" w:rsidRPr="00794D5A">
        <w:t xml:space="preserve"> </w:t>
      </w:r>
      <w:proofErr w:type="spellStart"/>
      <w:r w:rsidR="00794D5A" w:rsidRPr="00794D5A">
        <w:t>fizik</w:t>
      </w:r>
      <w:proofErr w:type="spellEnd"/>
      <w:r w:rsidR="00794D5A" w:rsidRPr="00794D5A">
        <w:t xml:space="preserve"> </w:t>
      </w:r>
      <w:proofErr w:type="spellStart"/>
      <w:r w:rsidR="00794D5A" w:rsidRPr="00794D5A">
        <w:t>te</w:t>
      </w:r>
      <w:proofErr w:type="spellEnd"/>
      <w:r w:rsidR="00794D5A" w:rsidRPr="00794D5A">
        <w:t xml:space="preserve"> </w:t>
      </w:r>
      <w:proofErr w:type="spellStart"/>
      <w:r w:rsidR="00794D5A" w:rsidRPr="00794D5A">
        <w:t>objekteve</w:t>
      </w:r>
      <w:proofErr w:type="spellEnd"/>
      <w:r w:rsidR="00794D5A" w:rsidRPr="00794D5A">
        <w:t>.</w:t>
      </w:r>
    </w:p>
    <w:p w:rsidR="009530A3" w:rsidRPr="00D961B1" w:rsidRDefault="001579CE" w:rsidP="009530A3">
      <w:pPr>
        <w:rPr>
          <w:b/>
        </w:rPr>
      </w:pPr>
      <w:r>
        <w:rPr>
          <w:b/>
        </w:rPr>
        <w:t xml:space="preserve">KODI 13760 - </w:t>
      </w:r>
      <w:r w:rsidR="00A059BA" w:rsidRPr="00A059BA">
        <w:rPr>
          <w:b/>
        </w:rPr>
        <w:t xml:space="preserve">DRUTË DHE PRODHIMET E DRURIT PËR NGROHJE: </w:t>
      </w:r>
      <w:r w:rsidR="00D961B1">
        <w:rPr>
          <w:b/>
        </w:rPr>
        <w:t xml:space="preserve"> </w:t>
      </w:r>
      <w:r w:rsidR="00A059BA">
        <w:t>N</w:t>
      </w:r>
      <w:r w:rsidR="00A059BA" w:rsidRPr="00A059BA">
        <w:t>e</w:t>
      </w:r>
      <w:r w:rsidR="00A059BA">
        <w:t xml:space="preserve"> </w:t>
      </w:r>
      <w:proofErr w:type="spellStart"/>
      <w:r w:rsidR="00A059BA" w:rsidRPr="00A059BA">
        <w:t>planin</w:t>
      </w:r>
      <w:proofErr w:type="spellEnd"/>
      <w:r w:rsidR="00A059BA" w:rsidRPr="00A059BA">
        <w:t xml:space="preserve"> e </w:t>
      </w:r>
      <w:proofErr w:type="spellStart"/>
      <w:proofErr w:type="gramStart"/>
      <w:r w:rsidR="00A059BA" w:rsidRPr="00A059BA">
        <w:t>ri</w:t>
      </w:r>
      <w:proofErr w:type="spellEnd"/>
      <w:proofErr w:type="gramEnd"/>
      <w:r w:rsidR="00A059BA" w:rsidRPr="00A059BA">
        <w:t xml:space="preserve"> </w:t>
      </w:r>
      <w:proofErr w:type="spellStart"/>
      <w:r w:rsidR="00A059BA" w:rsidRPr="00A059BA">
        <w:t>kontabel</w:t>
      </w:r>
      <w:proofErr w:type="spellEnd"/>
      <w:r w:rsidR="00A059BA" w:rsidRPr="00A059BA">
        <w:t xml:space="preserve"> </w:t>
      </w:r>
      <w:proofErr w:type="spellStart"/>
      <w:r w:rsidR="00A059BA" w:rsidRPr="00A059BA">
        <w:t>te</w:t>
      </w:r>
      <w:proofErr w:type="spellEnd"/>
      <w:r w:rsidR="00A059BA" w:rsidRPr="00A059BA">
        <w:t xml:space="preserve"> </w:t>
      </w:r>
      <w:proofErr w:type="spellStart"/>
      <w:r w:rsidR="00A059BA" w:rsidRPr="00A059BA">
        <w:t>hartuar</w:t>
      </w:r>
      <w:proofErr w:type="spellEnd"/>
      <w:r w:rsidR="00A059BA" w:rsidRPr="00A059BA">
        <w:t xml:space="preserve"> </w:t>
      </w:r>
      <w:proofErr w:type="spellStart"/>
      <w:r w:rsidR="00A059BA" w:rsidRPr="00A059BA">
        <w:t>nga</w:t>
      </w:r>
      <w:proofErr w:type="spellEnd"/>
      <w:r w:rsidR="00A059BA" w:rsidRPr="00A059BA">
        <w:t xml:space="preserve"> </w:t>
      </w:r>
      <w:proofErr w:type="spellStart"/>
      <w:r w:rsidR="00A059BA" w:rsidRPr="00A059BA">
        <w:t>Th</w:t>
      </w:r>
      <w:r w:rsidR="00A059BA">
        <w:t>esari</w:t>
      </w:r>
      <w:proofErr w:type="spellEnd"/>
      <w:r w:rsidR="00A059BA">
        <w:t xml:space="preserve">-MFPT, </w:t>
      </w:r>
      <w:proofErr w:type="spellStart"/>
      <w:r w:rsidR="00A059BA" w:rsidRPr="00A059BA">
        <w:t>ketu</w:t>
      </w:r>
      <w:proofErr w:type="spellEnd"/>
      <w:r w:rsidR="00A059BA" w:rsidRPr="00A059BA">
        <w:t xml:space="preserve"> </w:t>
      </w:r>
      <w:proofErr w:type="spellStart"/>
      <w:r w:rsidR="00A059BA" w:rsidRPr="00A059BA">
        <w:t>perfshihen</w:t>
      </w:r>
      <w:proofErr w:type="spellEnd"/>
      <w:r w:rsidR="00A059BA" w:rsidRPr="00A059BA">
        <w:t xml:space="preserve">: </w:t>
      </w:r>
      <w:proofErr w:type="spellStart"/>
      <w:r w:rsidR="00A059BA" w:rsidRPr="00A059BA">
        <w:t>drutë</w:t>
      </w:r>
      <w:proofErr w:type="spellEnd"/>
      <w:r w:rsidR="00A059BA" w:rsidRPr="00A059BA">
        <w:t xml:space="preserve">, </w:t>
      </w:r>
      <w:proofErr w:type="spellStart"/>
      <w:r w:rsidR="00A059BA" w:rsidRPr="00A059BA">
        <w:t>peleti</w:t>
      </w:r>
      <w:proofErr w:type="spellEnd"/>
      <w:r w:rsidR="00A059BA" w:rsidRPr="00A059BA">
        <w:t xml:space="preserve">, </w:t>
      </w:r>
      <w:proofErr w:type="spellStart"/>
      <w:r w:rsidR="00A059BA" w:rsidRPr="00A059BA">
        <w:t>etj</w:t>
      </w:r>
      <w:proofErr w:type="spellEnd"/>
      <w:r w:rsidR="00A059BA" w:rsidRPr="00A059BA">
        <w:t xml:space="preserve"> </w:t>
      </w:r>
      <w:proofErr w:type="spellStart"/>
      <w:r w:rsidR="00A059BA" w:rsidRPr="00A059BA">
        <w:t>furnizime</w:t>
      </w:r>
      <w:proofErr w:type="spellEnd"/>
      <w:r w:rsidR="00A059BA" w:rsidRPr="00A059BA">
        <w:t xml:space="preserve"> </w:t>
      </w:r>
      <w:proofErr w:type="spellStart"/>
      <w:r w:rsidR="00A059BA" w:rsidRPr="00A059BA">
        <w:t>nga</w:t>
      </w:r>
      <w:proofErr w:type="spellEnd"/>
      <w:r w:rsidR="00A059BA" w:rsidRPr="00A059BA">
        <w:t xml:space="preserve"> </w:t>
      </w:r>
      <w:proofErr w:type="spellStart"/>
      <w:r w:rsidR="00A059BA" w:rsidRPr="00A059BA">
        <w:t>druri</w:t>
      </w:r>
      <w:proofErr w:type="spellEnd"/>
      <w:r w:rsidR="00A059BA" w:rsidRPr="00A059BA">
        <w:t xml:space="preserve"> per </w:t>
      </w:r>
      <w:proofErr w:type="spellStart"/>
      <w:r w:rsidR="00A059BA" w:rsidRPr="00A059BA">
        <w:t>nxemje</w:t>
      </w:r>
      <w:proofErr w:type="spellEnd"/>
      <w:r w:rsidR="00A059BA" w:rsidRPr="00A059BA">
        <w:t>.</w:t>
      </w:r>
    </w:p>
    <w:p w:rsidR="00D12440" w:rsidRPr="00980CEC" w:rsidRDefault="0063225B" w:rsidP="00980CEC">
      <w:pPr>
        <w:jc w:val="both"/>
        <w:rPr>
          <w:b/>
        </w:rPr>
      </w:pPr>
      <w:r>
        <w:rPr>
          <w:b/>
        </w:rPr>
        <w:t xml:space="preserve">KODI 14410 - </w:t>
      </w:r>
      <w:r w:rsidR="009C6ECA" w:rsidRPr="009C6ECA">
        <w:rPr>
          <w:b/>
        </w:rPr>
        <w:t>SHPENZIMET E VENDIMEVE TË GJYKATAVE:</w:t>
      </w:r>
      <w:r w:rsidR="00D961B1">
        <w:rPr>
          <w:b/>
        </w:rPr>
        <w:t xml:space="preserve"> </w:t>
      </w:r>
      <w:proofErr w:type="spellStart"/>
      <w:r w:rsidR="00567E81">
        <w:t>Pë</w:t>
      </w:r>
      <w:r w:rsidR="009C6ECA">
        <w:t>r</w:t>
      </w:r>
      <w:proofErr w:type="spellEnd"/>
      <w:r w:rsidR="009C6ECA">
        <w:t xml:space="preserve"> </w:t>
      </w:r>
      <w:proofErr w:type="spellStart"/>
      <w:r w:rsidR="009C6ECA">
        <w:t>Sulahe</w:t>
      </w:r>
      <w:proofErr w:type="spellEnd"/>
      <w:r w:rsidR="009C6ECA">
        <w:t xml:space="preserve"> </w:t>
      </w:r>
      <w:proofErr w:type="spellStart"/>
      <w:r w:rsidR="009C6ECA">
        <w:t>Luzha-lende</w:t>
      </w:r>
      <w:proofErr w:type="spellEnd"/>
      <w:r w:rsidR="009C6ECA">
        <w:t xml:space="preserve"> </w:t>
      </w:r>
      <w:proofErr w:type="spellStart"/>
      <w:r w:rsidR="009C6ECA">
        <w:t>pernbarimore</w:t>
      </w:r>
      <w:proofErr w:type="spellEnd"/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gramStart"/>
      <w:r w:rsidR="009C6ECA">
        <w:t>7,390.02 euro</w:t>
      </w:r>
      <w:proofErr w:type="gramEnd"/>
      <w:r w:rsidR="009C6ECA">
        <w:t xml:space="preserve"> </w:t>
      </w:r>
      <w:proofErr w:type="spellStart"/>
      <w:r w:rsidR="009C6ECA">
        <w:t>kompensim</w:t>
      </w:r>
      <w:proofErr w:type="spellEnd"/>
      <w:r w:rsidR="009C6ECA">
        <w:t xml:space="preserve"> per </w:t>
      </w:r>
      <w:proofErr w:type="spellStart"/>
      <w:r w:rsidR="009C6ECA">
        <w:t>parcela</w:t>
      </w:r>
      <w:proofErr w:type="spellEnd"/>
      <w:r w:rsidR="00567E81">
        <w:t xml:space="preserve"> - </w:t>
      </w:r>
      <w:proofErr w:type="spellStart"/>
      <w:r w:rsidR="00567E81">
        <w:t>Administrata</w:t>
      </w:r>
      <w:proofErr w:type="spellEnd"/>
      <w:r w:rsidR="00567E81">
        <w:t xml:space="preserve"> e </w:t>
      </w:r>
      <w:proofErr w:type="spellStart"/>
      <w:r w:rsidR="00567E81">
        <w:t>Pergjithshme</w:t>
      </w:r>
      <w:proofErr w:type="spellEnd"/>
      <w:r w:rsidR="00567E81">
        <w:t>.</w:t>
      </w:r>
      <w:r w:rsidR="00D961B1">
        <w:rPr>
          <w:b/>
        </w:rPr>
        <w:t xml:space="preserve"> </w:t>
      </w:r>
      <w:proofErr w:type="spellStart"/>
      <w:r w:rsidR="00567E81">
        <w:t>Pë</w:t>
      </w:r>
      <w:r w:rsidR="009C6ECA">
        <w:t>r</w:t>
      </w:r>
      <w:proofErr w:type="spellEnd"/>
      <w:r w:rsidR="009C6ECA">
        <w:t xml:space="preserve"> </w:t>
      </w:r>
      <w:proofErr w:type="spellStart"/>
      <w:r w:rsidR="009C6ECA">
        <w:t>Qefsere</w:t>
      </w:r>
      <w:proofErr w:type="spellEnd"/>
      <w:r w:rsidR="009C6ECA">
        <w:t xml:space="preserve"> </w:t>
      </w:r>
      <w:proofErr w:type="spellStart"/>
      <w:r w:rsidR="009C6ECA">
        <w:t>Koraqi-lende</w:t>
      </w:r>
      <w:proofErr w:type="spellEnd"/>
      <w:r w:rsidR="009C6ECA">
        <w:t xml:space="preserve"> </w:t>
      </w:r>
      <w:proofErr w:type="spellStart"/>
      <w:r w:rsidR="009C6ECA">
        <w:t>permbarimore</w:t>
      </w:r>
      <w:r w:rsidR="007A5911">
        <w:t>-padi</w:t>
      </w:r>
      <w:proofErr w:type="spellEnd"/>
      <w:r w:rsidR="007A5911">
        <w:t xml:space="preserve"> per </w:t>
      </w:r>
      <w:proofErr w:type="spellStart"/>
      <w:r w:rsidR="007A5911">
        <w:t>shpronësim</w:t>
      </w:r>
      <w:proofErr w:type="spellEnd"/>
      <w:r w:rsidR="007A5911">
        <w:t xml:space="preserve"> prone me </w:t>
      </w:r>
      <w:proofErr w:type="spellStart"/>
      <w:r w:rsidR="007A5911">
        <w:t>rastin</w:t>
      </w:r>
      <w:proofErr w:type="spellEnd"/>
      <w:r w:rsidR="007A5911">
        <w:t xml:space="preserve"> e </w:t>
      </w:r>
      <w:proofErr w:type="spellStart"/>
      <w:r w:rsidR="007A5911">
        <w:t>ndertimit</w:t>
      </w:r>
      <w:proofErr w:type="spellEnd"/>
      <w:r w:rsidR="007A5911">
        <w:t xml:space="preserve"> </w:t>
      </w:r>
      <w:proofErr w:type="spellStart"/>
      <w:r w:rsidR="007A5911">
        <w:t>te</w:t>
      </w:r>
      <w:proofErr w:type="spellEnd"/>
      <w:r w:rsidR="007A5911">
        <w:t xml:space="preserve"> </w:t>
      </w:r>
      <w:proofErr w:type="spellStart"/>
      <w:r w:rsidR="007A5911">
        <w:t>trotuarit</w:t>
      </w:r>
      <w:proofErr w:type="spellEnd"/>
      <w:r w:rsidR="007A5911">
        <w:t xml:space="preserve"> </w:t>
      </w:r>
      <w:proofErr w:type="spellStart"/>
      <w:r w:rsidR="007A5911">
        <w:t>përgjatë</w:t>
      </w:r>
      <w:proofErr w:type="spellEnd"/>
      <w:r w:rsidR="007A5911">
        <w:t xml:space="preserve"> </w:t>
      </w:r>
      <w:proofErr w:type="spellStart"/>
      <w:r w:rsidR="007A5911">
        <w:t>rrugës</w:t>
      </w:r>
      <w:proofErr w:type="spellEnd"/>
      <w:r w:rsidR="007A5911">
        <w:t xml:space="preserve"> Bob-</w:t>
      </w:r>
      <w:proofErr w:type="spellStart"/>
      <w:r w:rsidR="007A5911">
        <w:t>Doganaj</w:t>
      </w:r>
      <w:proofErr w:type="spellEnd"/>
      <w:r w:rsidR="009C6ECA">
        <w:t xml:space="preserve">,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3,672.34 euro </w:t>
      </w:r>
      <w:proofErr w:type="spellStart"/>
      <w:r w:rsidR="009C6ECA">
        <w:t>dhe</w:t>
      </w:r>
      <w:proofErr w:type="spellEnd"/>
      <w:r w:rsidR="009C6ECA">
        <w:t xml:space="preserve"> per Grand Construction </w:t>
      </w:r>
      <w:proofErr w:type="spellStart"/>
      <w:r w:rsidR="009C6ECA">
        <w:t>Shpk</w:t>
      </w:r>
      <w:proofErr w:type="spellEnd"/>
      <w:r w:rsidR="009C6ECA">
        <w:t xml:space="preserve">-ZP Shala </w:t>
      </w:r>
      <w:proofErr w:type="spellStart"/>
      <w:r w:rsidR="009C6ECA">
        <w:t>Shpk-lende</w:t>
      </w:r>
      <w:proofErr w:type="spellEnd"/>
      <w:r w:rsidR="009C6ECA">
        <w:t xml:space="preserve"> </w:t>
      </w:r>
      <w:proofErr w:type="spellStart"/>
      <w:r w:rsidR="009C6ECA">
        <w:t>permbarimore</w:t>
      </w:r>
      <w:r w:rsidR="00A31DCC">
        <w:t>-padi</w:t>
      </w:r>
      <w:proofErr w:type="spellEnd"/>
      <w:r w:rsidR="00A31DCC">
        <w:t xml:space="preserve"> </w:t>
      </w:r>
      <w:proofErr w:type="spellStart"/>
      <w:r w:rsidR="00A31DCC">
        <w:t>për</w:t>
      </w:r>
      <w:proofErr w:type="spellEnd"/>
      <w:r w:rsidR="00A31DCC">
        <w:t xml:space="preserve"> </w:t>
      </w:r>
      <w:proofErr w:type="spellStart"/>
      <w:r w:rsidR="00A31DCC">
        <w:t>kompensim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situacionit</w:t>
      </w:r>
      <w:proofErr w:type="spellEnd"/>
      <w:r w:rsidR="00A31DCC">
        <w:t xml:space="preserve"> </w:t>
      </w:r>
      <w:proofErr w:type="spellStart"/>
      <w:r w:rsidR="00A31DCC">
        <w:t>përfundimtar</w:t>
      </w:r>
      <w:proofErr w:type="spellEnd"/>
      <w:r w:rsidR="00A31DCC">
        <w:t xml:space="preserve"> </w:t>
      </w:r>
      <w:proofErr w:type="spellStart"/>
      <w:r w:rsidR="00A31DCC">
        <w:t>të</w:t>
      </w:r>
      <w:proofErr w:type="spellEnd"/>
      <w:r w:rsidR="00A31DCC">
        <w:t xml:space="preserve"> </w:t>
      </w:r>
      <w:proofErr w:type="spellStart"/>
      <w:r w:rsidR="00A31DCC">
        <w:t>pagesës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kontrata</w:t>
      </w:r>
      <w:proofErr w:type="spellEnd"/>
      <w:r w:rsidR="00A31DCC">
        <w:t xml:space="preserve"> </w:t>
      </w:r>
      <w:proofErr w:type="spellStart"/>
      <w:r w:rsidR="00A31DCC">
        <w:t>vjetore</w:t>
      </w:r>
      <w:proofErr w:type="spellEnd"/>
      <w:r w:rsidR="00A31DCC">
        <w:t xml:space="preserve"> per </w:t>
      </w:r>
      <w:proofErr w:type="spellStart"/>
      <w:r w:rsidR="00A31DCC">
        <w:t>mirembajtje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rrugëve</w:t>
      </w:r>
      <w:proofErr w:type="spellEnd"/>
      <w:r w:rsidR="00A31DCC">
        <w:t xml:space="preserve"> </w:t>
      </w:r>
      <w:proofErr w:type="spellStart"/>
      <w:r w:rsidR="00A31DCC">
        <w:t>te</w:t>
      </w:r>
      <w:proofErr w:type="spellEnd"/>
      <w:r w:rsidR="00A31DCC">
        <w:t xml:space="preserve"> </w:t>
      </w:r>
      <w:proofErr w:type="spellStart"/>
      <w:r w:rsidR="00A31DCC">
        <w:t>vitit</w:t>
      </w:r>
      <w:proofErr w:type="spellEnd"/>
      <w:r w:rsidR="00A31DCC">
        <w:t xml:space="preserve"> 2020,</w:t>
      </w:r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12,321.57 euro - </w:t>
      </w:r>
      <w:proofErr w:type="spellStart"/>
      <w:r w:rsidR="009C6ECA">
        <w:t>Sherbimet</w:t>
      </w:r>
      <w:proofErr w:type="spellEnd"/>
      <w:r w:rsidR="009C6ECA">
        <w:t xml:space="preserve"> </w:t>
      </w:r>
      <w:proofErr w:type="spellStart"/>
      <w:r w:rsidR="009C6ECA">
        <w:t>Publike</w:t>
      </w:r>
      <w:proofErr w:type="spellEnd"/>
      <w:r w:rsidR="00A31DCC">
        <w:t xml:space="preserve">. </w:t>
      </w:r>
      <w:r w:rsidR="00980CEC">
        <w:rPr>
          <w:b/>
        </w:rPr>
        <w:t xml:space="preserve"> </w:t>
      </w:r>
      <w:r w:rsidR="007A5911">
        <w:t xml:space="preserve">Aliu Law </w:t>
      </w:r>
      <w:proofErr w:type="spellStart"/>
      <w:r w:rsidR="007A5911">
        <w:t>Shpk</w:t>
      </w:r>
      <w:proofErr w:type="spellEnd"/>
      <w:r w:rsidR="007A5911">
        <w:t xml:space="preserve"> – </w:t>
      </w:r>
      <w:proofErr w:type="spellStart"/>
      <w:r w:rsidR="007A5911">
        <w:t>lend</w:t>
      </w:r>
      <w:r w:rsidR="009C6ECA">
        <w:t>e</w:t>
      </w:r>
      <w:proofErr w:type="spellEnd"/>
      <w:r w:rsidR="007A5911">
        <w:t xml:space="preserve"> </w:t>
      </w:r>
      <w:proofErr w:type="spellStart"/>
      <w:r w:rsidR="0013274F">
        <w:t>permbarimore</w:t>
      </w:r>
      <w:proofErr w:type="spellEnd"/>
      <w:r w:rsidR="0013274F">
        <w:t xml:space="preserve"> </w:t>
      </w:r>
      <w:proofErr w:type="spellStart"/>
      <w:proofErr w:type="gramStart"/>
      <w:r w:rsidR="0013274F">
        <w:t>te</w:t>
      </w:r>
      <w:proofErr w:type="spellEnd"/>
      <w:proofErr w:type="gramEnd"/>
      <w:r w:rsidR="0013274F">
        <w:t xml:space="preserve"> </w:t>
      </w:r>
      <w:proofErr w:type="spellStart"/>
      <w:r w:rsidR="0013274F">
        <w:t>Shë</w:t>
      </w:r>
      <w:r w:rsidR="009C6ECA">
        <w:t>ndetesia</w:t>
      </w:r>
      <w:proofErr w:type="spellEnd"/>
      <w:r w:rsidR="009C6ECA">
        <w:t xml:space="preserve"> </w:t>
      </w:r>
      <w:proofErr w:type="spellStart"/>
      <w:r w:rsidR="009C6ECA">
        <w:t>shuma</w:t>
      </w:r>
      <w:proofErr w:type="spellEnd"/>
      <w:r w:rsidR="009C6ECA">
        <w:t xml:space="preserve"> </w:t>
      </w:r>
      <w:proofErr w:type="spellStart"/>
      <w:r w:rsidR="009C6ECA">
        <w:t>prej</w:t>
      </w:r>
      <w:proofErr w:type="spellEnd"/>
      <w:r w:rsidR="009C6ECA">
        <w:t xml:space="preserve"> 2,699.62 euro.</w:t>
      </w:r>
    </w:p>
    <w:p w:rsidR="00A36C4B" w:rsidRPr="00980CEC" w:rsidRDefault="00CE5E11" w:rsidP="00980CEC">
      <w:pPr>
        <w:jc w:val="both"/>
        <w:rPr>
          <w:b/>
        </w:rPr>
      </w:pPr>
      <w:proofErr w:type="gramStart"/>
      <w:r>
        <w:rPr>
          <w:b/>
        </w:rPr>
        <w:t xml:space="preserve">KODI 14032 - </w:t>
      </w:r>
      <w:r w:rsidR="00A36C4B" w:rsidRPr="00A36C4B">
        <w:rPr>
          <w:b/>
        </w:rPr>
        <w:t>MIRËMBAJTJA E RRUGËVE LOKALE:</w:t>
      </w:r>
      <w:r w:rsidR="00980CEC">
        <w:rPr>
          <w:b/>
        </w:rPr>
        <w:t xml:space="preserve"> </w:t>
      </w:r>
      <w:proofErr w:type="spellStart"/>
      <w:r w:rsidR="00980CEC">
        <w:t>Përfshihet</w:t>
      </w:r>
      <w:proofErr w:type="spellEnd"/>
      <w:r w:rsidR="00B65904">
        <w:t xml:space="preserve"> </w:t>
      </w:r>
      <w:proofErr w:type="spellStart"/>
      <w:r w:rsidR="00B65904">
        <w:t>mirë</w:t>
      </w:r>
      <w:r w:rsidR="00A36C4B" w:rsidRPr="00A36C4B">
        <w:t>mbajtja</w:t>
      </w:r>
      <w:proofErr w:type="spellEnd"/>
      <w:r w:rsidR="00A36C4B" w:rsidRPr="00A36C4B">
        <w:t xml:space="preserve"> e </w:t>
      </w:r>
      <w:proofErr w:type="spellStart"/>
      <w:r w:rsidR="00A36C4B" w:rsidRPr="00A36C4B">
        <w:t>rrugeve</w:t>
      </w:r>
      <w:proofErr w:type="spellEnd"/>
      <w:r w:rsidR="00A36C4B" w:rsidRPr="00A36C4B">
        <w:t xml:space="preserve"> </w:t>
      </w:r>
      <w:proofErr w:type="spellStart"/>
      <w:r w:rsidR="00A36C4B" w:rsidRPr="00A36C4B">
        <w:t>lokale</w:t>
      </w:r>
      <w:proofErr w:type="spellEnd"/>
      <w:r w:rsidR="0063225B">
        <w:t xml:space="preserve"> </w:t>
      </w:r>
      <w:proofErr w:type="spellStart"/>
      <w:r w:rsidR="0063225B">
        <w:t>për</w:t>
      </w:r>
      <w:proofErr w:type="spellEnd"/>
      <w:r w:rsidR="0063225B">
        <w:t xml:space="preserve"> </w:t>
      </w:r>
      <w:proofErr w:type="spellStart"/>
      <w:r w:rsidR="0063225B">
        <w:t>kontratën</w:t>
      </w:r>
      <w:proofErr w:type="spellEnd"/>
      <w:r w:rsidR="0063225B">
        <w:t xml:space="preserve"> e </w:t>
      </w:r>
      <w:proofErr w:type="spellStart"/>
      <w:r w:rsidR="0063225B">
        <w:t>vitit</w:t>
      </w:r>
      <w:proofErr w:type="spellEnd"/>
      <w:r w:rsidR="0063225B">
        <w:t xml:space="preserve"> 2024 ne </w:t>
      </w:r>
      <w:proofErr w:type="spellStart"/>
      <w:r w:rsidR="0063225B">
        <w:t>shumë</w:t>
      </w:r>
      <w:proofErr w:type="spellEnd"/>
      <w:r w:rsidR="0063225B">
        <w:t xml:space="preserve"> </w:t>
      </w:r>
      <w:proofErr w:type="spellStart"/>
      <w:r w:rsidR="0063225B">
        <w:t>pre</w:t>
      </w:r>
      <w:r w:rsidR="00B93A28">
        <w:t>j</w:t>
      </w:r>
      <w:proofErr w:type="spellEnd"/>
      <w:r w:rsidR="00B93A28">
        <w:t xml:space="preserve"> 99,927.16 euro, </w:t>
      </w:r>
      <w:proofErr w:type="spellStart"/>
      <w:r w:rsidR="00B93A28">
        <w:t>shuma</w:t>
      </w:r>
      <w:proofErr w:type="spellEnd"/>
      <w:r w:rsidR="00B93A28">
        <w:t xml:space="preserve"> </w:t>
      </w:r>
      <w:proofErr w:type="spellStart"/>
      <w:r w:rsidR="00B93A28">
        <w:t>prej</w:t>
      </w:r>
      <w:proofErr w:type="spellEnd"/>
      <w:r w:rsidR="00B93A28">
        <w:t xml:space="preserve"> 38,161.04</w:t>
      </w:r>
      <w:r w:rsidR="00AE27EB">
        <w:t xml:space="preserve"> euro </w:t>
      </w:r>
      <w:proofErr w:type="spellStart"/>
      <w:r w:rsidR="00AE27EB">
        <w:t>pagesat</w:t>
      </w:r>
      <w:proofErr w:type="spellEnd"/>
      <w:r w:rsidR="00AE27EB">
        <w:t xml:space="preserve"> e </w:t>
      </w:r>
      <w:proofErr w:type="spellStart"/>
      <w:r w:rsidR="00AE27EB">
        <w:t>obligimeve</w:t>
      </w:r>
      <w:proofErr w:type="spellEnd"/>
      <w:r w:rsidR="00AE27EB">
        <w:t xml:space="preserve"> </w:t>
      </w:r>
      <w:proofErr w:type="spellStart"/>
      <w:r w:rsidR="00AE27EB">
        <w:t>të</w:t>
      </w:r>
      <w:proofErr w:type="spellEnd"/>
      <w:r w:rsidR="00AE27EB">
        <w:t xml:space="preserve"> </w:t>
      </w:r>
      <w:proofErr w:type="spellStart"/>
      <w:r w:rsidR="00AE27EB">
        <w:t>kontratës</w:t>
      </w:r>
      <w:proofErr w:type="spellEnd"/>
      <w:r w:rsidR="00AE27EB">
        <w:t xml:space="preserve"> </w:t>
      </w:r>
      <w:r w:rsidR="006C34CD">
        <w:t xml:space="preserve">se </w:t>
      </w:r>
      <w:proofErr w:type="spellStart"/>
      <w:r w:rsidR="006C34CD">
        <w:t>vitit</w:t>
      </w:r>
      <w:proofErr w:type="spellEnd"/>
      <w:r w:rsidR="006C34CD">
        <w:t xml:space="preserve"> 2023 </w:t>
      </w:r>
      <w:proofErr w:type="spellStart"/>
      <w:r w:rsidR="006C34CD">
        <w:t>si</w:t>
      </w:r>
      <w:proofErr w:type="spellEnd"/>
      <w:r w:rsidR="006C34CD">
        <w:t xml:space="preserve">, </w:t>
      </w:r>
      <w:proofErr w:type="spellStart"/>
      <w:r w:rsidR="00B93A28">
        <w:t>shuma</w:t>
      </w:r>
      <w:proofErr w:type="spellEnd"/>
      <w:r w:rsidR="00B93A28">
        <w:t xml:space="preserve"> </w:t>
      </w:r>
      <w:proofErr w:type="spellStart"/>
      <w:r w:rsidR="00B93A28">
        <w:t>prej</w:t>
      </w:r>
      <w:proofErr w:type="spellEnd"/>
      <w:r w:rsidR="00B93A28">
        <w:t xml:space="preserve"> 25,039.82 euro </w:t>
      </w:r>
      <w:proofErr w:type="spellStart"/>
      <w:r w:rsidR="00AE27EB">
        <w:t>kompensimi</w:t>
      </w:r>
      <w:proofErr w:type="spellEnd"/>
      <w:r w:rsidR="00AE27EB">
        <w:t xml:space="preserve"> i </w:t>
      </w:r>
      <w:proofErr w:type="spellStart"/>
      <w:r w:rsidR="00AE27EB">
        <w:t>inflacionit</w:t>
      </w:r>
      <w:proofErr w:type="spellEnd"/>
      <w:r w:rsidR="00B93A28">
        <w:t xml:space="preserve"> </w:t>
      </w:r>
      <w:proofErr w:type="spellStart"/>
      <w:r w:rsidR="00B93A28">
        <w:t>ndaj</w:t>
      </w:r>
      <w:proofErr w:type="spellEnd"/>
      <w:r w:rsidR="00B93A28">
        <w:t xml:space="preserve"> </w:t>
      </w:r>
      <w:proofErr w:type="spellStart"/>
      <w:r w:rsidR="00B93A28">
        <w:t>operatoreve</w:t>
      </w:r>
      <w:proofErr w:type="spellEnd"/>
      <w:r w:rsidR="00B93A28">
        <w:t xml:space="preserve"> </w:t>
      </w:r>
      <w:proofErr w:type="spellStart"/>
      <w:r w:rsidR="00B93A28">
        <w:t>ekonomik</w:t>
      </w:r>
      <w:proofErr w:type="spellEnd"/>
      <w:r w:rsidR="00B93A28">
        <w:t xml:space="preserve"> </w:t>
      </w:r>
      <w:proofErr w:type="spellStart"/>
      <w:r w:rsidR="006C34CD">
        <w:t>k</w:t>
      </w:r>
      <w:r w:rsidR="00B93A28">
        <w:t>onform</w:t>
      </w:r>
      <w:proofErr w:type="spellEnd"/>
      <w:r w:rsidR="00B93A28">
        <w:t xml:space="preserve"> </w:t>
      </w:r>
      <w:proofErr w:type="spellStart"/>
      <w:r w:rsidR="00B93A28">
        <w:t>Ligjit</w:t>
      </w:r>
      <w:proofErr w:type="spellEnd"/>
      <w:r w:rsidR="00B93A28">
        <w:t xml:space="preserve"> per </w:t>
      </w:r>
      <w:proofErr w:type="spellStart"/>
      <w:r w:rsidR="00B93A28">
        <w:t>Punet</w:t>
      </w:r>
      <w:proofErr w:type="spellEnd"/>
      <w:r w:rsidR="00B93A28">
        <w:t xml:space="preserve"> </w:t>
      </w:r>
      <w:proofErr w:type="spellStart"/>
      <w:r w:rsidR="00B93A28">
        <w:t>Publike</w:t>
      </w:r>
      <w:proofErr w:type="spellEnd"/>
      <w:r w:rsidR="0063225B">
        <w:t xml:space="preserve"> </w:t>
      </w:r>
      <w:r w:rsidR="00A36C4B" w:rsidRPr="00A36C4B">
        <w:t xml:space="preserve">, </w:t>
      </w:r>
      <w:proofErr w:type="spellStart"/>
      <w:r w:rsidR="00A36C4B" w:rsidRPr="00A36C4B">
        <w:t>mirembajtja</w:t>
      </w:r>
      <w:proofErr w:type="spellEnd"/>
      <w:r w:rsidR="00A36C4B" w:rsidRPr="00A36C4B">
        <w:t xml:space="preserve"> e </w:t>
      </w:r>
      <w:proofErr w:type="spellStart"/>
      <w:r w:rsidR="00A36C4B" w:rsidRPr="00A36C4B">
        <w:t>ndriqimit</w:t>
      </w:r>
      <w:proofErr w:type="spellEnd"/>
      <w:r w:rsidR="00A36C4B" w:rsidRPr="00A36C4B">
        <w:t xml:space="preserve"> </w:t>
      </w:r>
      <w:proofErr w:type="spellStart"/>
      <w:r w:rsidR="00B65904">
        <w:t>publik</w:t>
      </w:r>
      <w:proofErr w:type="spellEnd"/>
      <w:r w:rsidR="00A36C4B">
        <w:t xml:space="preserve"> ne </w:t>
      </w:r>
      <w:proofErr w:type="spellStart"/>
      <w:r w:rsidR="00A36C4B">
        <w:t>shumë</w:t>
      </w:r>
      <w:proofErr w:type="spellEnd"/>
      <w:r w:rsidR="00A36C4B">
        <w:t xml:space="preserve"> </w:t>
      </w:r>
      <w:proofErr w:type="spellStart"/>
      <w:r w:rsidR="00A36C4B">
        <w:t>prej</w:t>
      </w:r>
      <w:proofErr w:type="spellEnd"/>
      <w:r w:rsidR="00A36C4B">
        <w:t xml:space="preserve"> 6,799.50 euro</w:t>
      </w:r>
      <w:r w:rsidR="00A36C4B" w:rsidRPr="00A36C4B">
        <w:t xml:space="preserve">, </w:t>
      </w:r>
      <w:proofErr w:type="spellStart"/>
      <w:r w:rsidR="00B65904">
        <w:t>rregullimi</w:t>
      </w:r>
      <w:proofErr w:type="spellEnd"/>
      <w:r w:rsidR="00B65904">
        <w:t xml:space="preserve"> </w:t>
      </w:r>
      <w:proofErr w:type="spellStart"/>
      <w:r w:rsidR="00B65904">
        <w:t>dhe</w:t>
      </w:r>
      <w:proofErr w:type="spellEnd"/>
      <w:r w:rsidR="00B65904">
        <w:t xml:space="preserve"> </w:t>
      </w:r>
      <w:proofErr w:type="spellStart"/>
      <w:r w:rsidR="00A36C4B" w:rsidRPr="00A36C4B">
        <w:t>mirembajtja</w:t>
      </w:r>
      <w:proofErr w:type="spellEnd"/>
      <w:r w:rsidR="00A36C4B" w:rsidRPr="00A36C4B">
        <w:t xml:space="preserve"> e </w:t>
      </w:r>
      <w:proofErr w:type="spellStart"/>
      <w:r w:rsidR="00A36C4B" w:rsidRPr="00A36C4B">
        <w:t>sinjaliz</w:t>
      </w:r>
      <w:r w:rsidR="00B65904">
        <w:t>imit</w:t>
      </w:r>
      <w:proofErr w:type="spellEnd"/>
      <w:r w:rsidR="00B65904">
        <w:t xml:space="preserve"> horizontal </w:t>
      </w:r>
      <w:proofErr w:type="spellStart"/>
      <w:r w:rsidR="00B65904">
        <w:t>dhe</w:t>
      </w:r>
      <w:proofErr w:type="spellEnd"/>
      <w:r w:rsidR="00B65904">
        <w:t xml:space="preserve"> </w:t>
      </w:r>
      <w:proofErr w:type="spellStart"/>
      <w:r w:rsidR="00B65904">
        <w:t>vertikal</w:t>
      </w:r>
      <w:proofErr w:type="spellEnd"/>
      <w:r w:rsidR="00B65904">
        <w:t xml:space="preserve">  </w:t>
      </w:r>
      <w:proofErr w:type="spellStart"/>
      <w:r w:rsidR="00B65904">
        <w:t>në</w:t>
      </w:r>
      <w:proofErr w:type="spellEnd"/>
      <w:r w:rsidR="00B65904">
        <w:t xml:space="preserve"> </w:t>
      </w:r>
      <w:proofErr w:type="spellStart"/>
      <w:r w:rsidR="00B65904">
        <w:t>rrugët</w:t>
      </w:r>
      <w:proofErr w:type="spellEnd"/>
      <w:r w:rsidR="00B65904">
        <w:t xml:space="preserve"> </w:t>
      </w:r>
      <w:proofErr w:type="spellStart"/>
      <w:r w:rsidR="00B65904">
        <w:t>lokale</w:t>
      </w:r>
      <w:proofErr w:type="spellEnd"/>
      <w:r w:rsidR="00BF652D">
        <w:t xml:space="preserve"> </w:t>
      </w:r>
      <w:proofErr w:type="spellStart"/>
      <w:r w:rsidR="00B65904">
        <w:t>të</w:t>
      </w:r>
      <w:proofErr w:type="spellEnd"/>
      <w:r w:rsidR="00B65904">
        <w:t xml:space="preserve"> </w:t>
      </w:r>
      <w:proofErr w:type="spellStart"/>
      <w:r w:rsidR="00B65904">
        <w:t>komunës</w:t>
      </w:r>
      <w:proofErr w:type="spellEnd"/>
      <w:r w:rsidR="00B65904">
        <w:t xml:space="preserve"> </w:t>
      </w:r>
      <w:proofErr w:type="spellStart"/>
      <w:r w:rsidR="00B65904">
        <w:t>shuma</w:t>
      </w:r>
      <w:proofErr w:type="spellEnd"/>
      <w:r w:rsidR="00B65904">
        <w:t xml:space="preserve"> </w:t>
      </w:r>
      <w:proofErr w:type="spellStart"/>
      <w:r w:rsidR="00B65904">
        <w:t>prej</w:t>
      </w:r>
      <w:proofErr w:type="spellEnd"/>
      <w:r w:rsidR="00B65904">
        <w:t xml:space="preserve">  9,870.50 euro.</w:t>
      </w:r>
      <w:proofErr w:type="gramEnd"/>
      <w:r w:rsidR="00B65904">
        <w:t xml:space="preserve"> </w:t>
      </w:r>
      <w:bookmarkStart w:id="0" w:name="_GoBack"/>
      <w:bookmarkEnd w:id="0"/>
    </w:p>
    <w:p w:rsidR="00A41E70" w:rsidRDefault="00A41E70" w:rsidP="009C6ECA">
      <w:proofErr w:type="gramStart"/>
      <w:r>
        <w:rPr>
          <w:b/>
        </w:rPr>
        <w:t xml:space="preserve">KODI 14060 - </w:t>
      </w:r>
      <w:r w:rsidRPr="00A41E70">
        <w:rPr>
          <w:b/>
        </w:rPr>
        <w:t>MIREMBAJTJA RUTINORE</w:t>
      </w:r>
      <w:r w:rsidRPr="00A41E70">
        <w:t xml:space="preserve">: </w:t>
      </w:r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Drejtoria</w:t>
      </w:r>
      <w:proofErr w:type="spellEnd"/>
      <w:r w:rsidR="00767C37">
        <w:t xml:space="preserve"> e </w:t>
      </w:r>
      <w:proofErr w:type="spellStart"/>
      <w:r w:rsidR="00767C37">
        <w:t>Shërbimeve</w:t>
      </w:r>
      <w:proofErr w:type="spellEnd"/>
      <w:r w:rsidR="00767C37">
        <w:t xml:space="preserve"> </w:t>
      </w:r>
      <w:proofErr w:type="spellStart"/>
      <w:r w:rsidR="00767C37">
        <w:t>Publike</w:t>
      </w:r>
      <w:proofErr w:type="spellEnd"/>
      <w:r w:rsidR="00767C37">
        <w:t xml:space="preserve"> jane </w:t>
      </w:r>
      <w:proofErr w:type="spellStart"/>
      <w:r w:rsidR="00767C37">
        <w:t>kryer</w:t>
      </w:r>
      <w:proofErr w:type="spellEnd"/>
      <w:r w:rsidR="00767C37">
        <w:t xml:space="preserve"> </w:t>
      </w:r>
      <w:proofErr w:type="spellStart"/>
      <w:r w:rsidR="00767C37">
        <w:t>pagesat</w:t>
      </w:r>
      <w:proofErr w:type="spellEnd"/>
      <w:r w:rsidR="00767C37">
        <w:t xml:space="preserve"> </w:t>
      </w:r>
      <w:proofErr w:type="spellStart"/>
      <w:r w:rsidR="00767C37">
        <w:t>për</w:t>
      </w:r>
      <w:proofErr w:type="spellEnd"/>
      <w:r w:rsidR="00767C37">
        <w:t xml:space="preserve"> </w:t>
      </w:r>
      <w:proofErr w:type="spellStart"/>
      <w:r w:rsidR="00767C37">
        <w:t>obligimet</w:t>
      </w:r>
      <w:proofErr w:type="spellEnd"/>
      <w:r w:rsidR="00767C37">
        <w:t xml:space="preserve"> e </w:t>
      </w:r>
      <w:proofErr w:type="spellStart"/>
      <w:r w:rsidR="00767C37">
        <w:t>vitit</w:t>
      </w:r>
      <w:proofErr w:type="spellEnd"/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kaluar</w:t>
      </w:r>
      <w:proofErr w:type="spellEnd"/>
      <w:r w:rsidR="00767C37">
        <w:t xml:space="preserve"> ne </w:t>
      </w:r>
      <w:proofErr w:type="spellStart"/>
      <w:r w:rsidR="00767C37">
        <w:t>shumë</w:t>
      </w:r>
      <w:proofErr w:type="spellEnd"/>
      <w:r w:rsidR="00767C37">
        <w:t xml:space="preserve"> </w:t>
      </w:r>
      <w:proofErr w:type="spellStart"/>
      <w:r w:rsidR="00767C37">
        <w:t>prej</w:t>
      </w:r>
      <w:proofErr w:type="spellEnd"/>
      <w:r w:rsidR="00767C37">
        <w:t xml:space="preserve"> 2,389.60 euro </w:t>
      </w:r>
      <w:proofErr w:type="spellStart"/>
      <w:r w:rsidR="00767C37">
        <w:t>për</w:t>
      </w:r>
      <w:proofErr w:type="spellEnd"/>
      <w:r w:rsidR="00767C37">
        <w:t xml:space="preserve"> </w:t>
      </w:r>
      <w:proofErr w:type="spellStart"/>
      <w:r w:rsidR="00767C37">
        <w:t>mirembajtjen</w:t>
      </w:r>
      <w:proofErr w:type="spellEnd"/>
      <w:r w:rsidR="00767C37">
        <w:t xml:space="preserve"> e </w:t>
      </w:r>
      <w:proofErr w:type="spellStart"/>
      <w:r w:rsidR="00767C37">
        <w:t>hapsirave</w:t>
      </w:r>
      <w:proofErr w:type="spellEnd"/>
      <w:r w:rsidR="00767C37">
        <w:t xml:space="preserve"> </w:t>
      </w:r>
      <w:proofErr w:type="spellStart"/>
      <w:r w:rsidR="00767C37">
        <w:t>publike</w:t>
      </w:r>
      <w:proofErr w:type="spellEnd"/>
      <w:r w:rsidR="00767C37">
        <w:t xml:space="preserve"> </w:t>
      </w:r>
      <w:proofErr w:type="spellStart"/>
      <w:r w:rsidR="00767C37">
        <w:t>te</w:t>
      </w:r>
      <w:proofErr w:type="spellEnd"/>
      <w:r w:rsidR="00767C37">
        <w:t xml:space="preserve"> </w:t>
      </w:r>
      <w:proofErr w:type="spellStart"/>
      <w:r w:rsidR="00767C37">
        <w:t>xhelbruara</w:t>
      </w:r>
      <w:proofErr w:type="spellEnd"/>
      <w:r w:rsidR="00767C37">
        <w:t xml:space="preserve"> </w:t>
      </w:r>
      <w:proofErr w:type="spellStart"/>
      <w:r w:rsidR="00767C37">
        <w:t>sipas</w:t>
      </w:r>
      <w:proofErr w:type="spellEnd"/>
      <w:r w:rsidR="00326AA1">
        <w:t xml:space="preserve"> </w:t>
      </w:r>
      <w:proofErr w:type="spellStart"/>
      <w:r w:rsidR="00767C37">
        <w:t>marrev</w:t>
      </w:r>
      <w:r w:rsidR="00AA4638">
        <w:t>eshjes</w:t>
      </w:r>
      <w:proofErr w:type="spellEnd"/>
      <w:r w:rsidR="00AA4638">
        <w:t xml:space="preserve"> me KRM </w:t>
      </w:r>
      <w:proofErr w:type="spellStart"/>
      <w:r w:rsidR="00AA4638">
        <w:t>Pastertia</w:t>
      </w:r>
      <w:proofErr w:type="spellEnd"/>
      <w:r w:rsidR="00AA4638">
        <w:t xml:space="preserve"> </w:t>
      </w:r>
      <w:proofErr w:type="spellStart"/>
      <w:r w:rsidR="00AA4638">
        <w:t>dhe</w:t>
      </w:r>
      <w:proofErr w:type="spellEnd"/>
      <w:r w:rsidR="00AA4638">
        <w:t xml:space="preserve"> </w:t>
      </w:r>
      <w:proofErr w:type="spellStart"/>
      <w:r w:rsidR="00AA4638">
        <w:t>për</w:t>
      </w:r>
      <w:proofErr w:type="spellEnd"/>
      <w:r w:rsidR="00AA4638">
        <w:t xml:space="preserve"> </w:t>
      </w:r>
      <w:proofErr w:type="spellStart"/>
      <w:r w:rsidR="00AA4638">
        <w:t>pagesen</w:t>
      </w:r>
      <w:proofErr w:type="spellEnd"/>
      <w:r w:rsidR="00AA4638">
        <w:t xml:space="preserve"> e </w:t>
      </w:r>
      <w:proofErr w:type="spellStart"/>
      <w:r w:rsidR="00AA4638">
        <w:t>obligimeve</w:t>
      </w:r>
      <w:proofErr w:type="spellEnd"/>
      <w:r w:rsidR="00AA4638">
        <w:t xml:space="preserve"> </w:t>
      </w:r>
      <w:proofErr w:type="spellStart"/>
      <w:r w:rsidR="00AA4638">
        <w:t>te</w:t>
      </w:r>
      <w:proofErr w:type="spellEnd"/>
      <w:r w:rsidR="00AA4638">
        <w:t xml:space="preserve"> </w:t>
      </w:r>
      <w:proofErr w:type="spellStart"/>
      <w:r w:rsidR="00AA4638">
        <w:t>vitit</w:t>
      </w:r>
      <w:proofErr w:type="spellEnd"/>
      <w:r w:rsidR="00AA4638">
        <w:t xml:space="preserve"> </w:t>
      </w:r>
      <w:proofErr w:type="spellStart"/>
      <w:r w:rsidR="00AA4638">
        <w:t>te</w:t>
      </w:r>
      <w:proofErr w:type="spellEnd"/>
      <w:r w:rsidR="00AA4638">
        <w:t xml:space="preserve"> </w:t>
      </w:r>
      <w:proofErr w:type="spellStart"/>
      <w:r w:rsidR="00AA4638">
        <w:t>kaluar</w:t>
      </w:r>
      <w:proofErr w:type="spellEnd"/>
      <w:r w:rsidR="00AA4638">
        <w:t xml:space="preserve"> per </w:t>
      </w:r>
      <w:proofErr w:type="spellStart"/>
      <w:r w:rsidR="00AA4638">
        <w:t>kontratën</w:t>
      </w:r>
      <w:proofErr w:type="spellEnd"/>
      <w:r w:rsidR="00AA4638">
        <w:t xml:space="preserve"> </w:t>
      </w:r>
      <w:proofErr w:type="spellStart"/>
      <w:r w:rsidR="00AA4638">
        <w:t>dekorimi</w:t>
      </w:r>
      <w:proofErr w:type="spellEnd"/>
      <w:r w:rsidR="00AA4638">
        <w:t xml:space="preserve"> I </w:t>
      </w:r>
      <w:proofErr w:type="spellStart"/>
      <w:r w:rsidR="00AA4638">
        <w:t>qytetit</w:t>
      </w:r>
      <w:proofErr w:type="spellEnd"/>
      <w:r w:rsidR="00AA4638">
        <w:t xml:space="preserve"> </w:t>
      </w:r>
      <w:proofErr w:type="spellStart"/>
      <w:r w:rsidR="00AA4638">
        <w:t>për</w:t>
      </w:r>
      <w:proofErr w:type="spellEnd"/>
      <w:r w:rsidR="00AA4638">
        <w:t xml:space="preserve"> </w:t>
      </w:r>
      <w:proofErr w:type="spellStart"/>
      <w:r w:rsidR="00AA4638">
        <w:t>festat</w:t>
      </w:r>
      <w:proofErr w:type="spellEnd"/>
      <w:r w:rsidR="00AA4638">
        <w:t xml:space="preserve"> e fund </w:t>
      </w:r>
      <w:proofErr w:type="spellStart"/>
      <w:r w:rsidR="00AA4638">
        <w:t>vitit</w:t>
      </w:r>
      <w:proofErr w:type="spellEnd"/>
      <w:r w:rsidR="00AA4638">
        <w:t xml:space="preserve">, </w:t>
      </w:r>
      <w:proofErr w:type="spellStart"/>
      <w:r w:rsidR="00AA4638">
        <w:t>ndërsa</w:t>
      </w:r>
      <w:proofErr w:type="spellEnd"/>
      <w:r w:rsidR="00AA4638">
        <w:t xml:space="preserve"> </w:t>
      </w:r>
      <w:proofErr w:type="spellStart"/>
      <w:r w:rsidR="00AA4638">
        <w:t>shuma</w:t>
      </w:r>
      <w:proofErr w:type="spellEnd"/>
      <w:r w:rsidR="00AA4638">
        <w:t xml:space="preserve"> </w:t>
      </w:r>
      <w:proofErr w:type="spellStart"/>
      <w:r w:rsidR="00AA4638">
        <w:t>prej</w:t>
      </w:r>
      <w:proofErr w:type="spellEnd"/>
      <w:r w:rsidR="00AA4638">
        <w:t xml:space="preserve"> 18,912.90 euro jane </w:t>
      </w:r>
      <w:proofErr w:type="spellStart"/>
      <w:r w:rsidR="00AA4638">
        <w:t>pagesa</w:t>
      </w:r>
      <w:proofErr w:type="spellEnd"/>
      <w:r w:rsidR="00AA4638">
        <w:t xml:space="preserve"> e </w:t>
      </w:r>
      <w:proofErr w:type="spellStart"/>
      <w:r w:rsidR="00AA4638">
        <w:t>situacioneve</w:t>
      </w:r>
      <w:proofErr w:type="spellEnd"/>
      <w:r w:rsidR="00AA4638">
        <w:t xml:space="preserve"> per </w:t>
      </w:r>
      <w:proofErr w:type="spellStart"/>
      <w:r w:rsidR="00AA4638">
        <w:t>mirembajtjen</w:t>
      </w:r>
      <w:proofErr w:type="spellEnd"/>
      <w:r w:rsidR="00AA4638">
        <w:t xml:space="preserve"> e </w:t>
      </w:r>
      <w:proofErr w:type="spellStart"/>
      <w:r w:rsidR="00AA4638">
        <w:t>hapsirave</w:t>
      </w:r>
      <w:proofErr w:type="spellEnd"/>
      <w:r w:rsidR="00AA4638">
        <w:t xml:space="preserve"> </w:t>
      </w:r>
      <w:proofErr w:type="spellStart"/>
      <w:r w:rsidR="00AA4638">
        <w:t>xhelbruese</w:t>
      </w:r>
      <w:proofErr w:type="spellEnd"/>
      <w:r w:rsidR="00AA4638">
        <w:t xml:space="preserve"> pe</w:t>
      </w:r>
      <w:r w:rsidR="00326AA1">
        <w:t xml:space="preserve">r </w:t>
      </w:r>
      <w:proofErr w:type="spellStart"/>
      <w:r w:rsidR="00326AA1">
        <w:t>periudhen</w:t>
      </w:r>
      <w:proofErr w:type="spellEnd"/>
      <w:r w:rsidR="00326AA1">
        <w:t xml:space="preserve"> </w:t>
      </w:r>
      <w:proofErr w:type="spellStart"/>
      <w:r w:rsidR="00326AA1">
        <w:t>janar-qershor</w:t>
      </w:r>
      <w:proofErr w:type="spellEnd"/>
      <w:r w:rsidR="00326AA1">
        <w:t xml:space="preserve"> 2024 </w:t>
      </w:r>
      <w:proofErr w:type="spellStart"/>
      <w:r w:rsidR="00326AA1">
        <w:t>sipas</w:t>
      </w:r>
      <w:proofErr w:type="spellEnd"/>
      <w:r w:rsidR="00326AA1">
        <w:t xml:space="preserve"> </w:t>
      </w:r>
      <w:proofErr w:type="spellStart"/>
      <w:r w:rsidR="00326AA1">
        <w:t>marrëveshjes</w:t>
      </w:r>
      <w:proofErr w:type="spellEnd"/>
      <w:r w:rsidR="00326AA1">
        <w:t xml:space="preserve"> me KRM </w:t>
      </w:r>
      <w:proofErr w:type="spellStart"/>
      <w:r w:rsidR="00326AA1">
        <w:t>Pastertia</w:t>
      </w:r>
      <w:proofErr w:type="spellEnd"/>
      <w:r w:rsidR="00326AA1">
        <w:t xml:space="preserve"> per </w:t>
      </w:r>
      <w:proofErr w:type="spellStart"/>
      <w:r w:rsidR="00326AA1">
        <w:t>vitin</w:t>
      </w:r>
      <w:proofErr w:type="spellEnd"/>
      <w:r w:rsidR="00326AA1">
        <w:t xml:space="preserve"> 2024.</w:t>
      </w:r>
      <w:proofErr w:type="gramEnd"/>
      <w:r w:rsidR="00326AA1">
        <w:t xml:space="preserve"> </w:t>
      </w:r>
    </w:p>
    <w:p w:rsidR="00980CEC" w:rsidRDefault="00980CEC" w:rsidP="009C6ECA">
      <w:pPr>
        <w:rPr>
          <w:b/>
        </w:rPr>
      </w:pPr>
    </w:p>
    <w:p w:rsidR="00173EE7" w:rsidRPr="00980CEC" w:rsidRDefault="00631046" w:rsidP="009C6ECA">
      <w:pPr>
        <w:rPr>
          <w:b/>
        </w:rPr>
        <w:sectPr w:rsidR="00173EE7" w:rsidRPr="00980CEC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631046">
        <w:rPr>
          <w:b/>
        </w:rPr>
        <w:t>KODI 13445 - SHËRBIMET-KONSULENT DHE KONTRAKTOR INDIVIDUAL</w:t>
      </w:r>
      <w:r w:rsidR="00173EE7">
        <w:rPr>
          <w:b/>
        </w:rPr>
        <w:t>:</w:t>
      </w:r>
      <w:r w:rsidR="00980CEC">
        <w:rPr>
          <w:b/>
        </w:rPr>
        <w:t xml:space="preserve">  </w:t>
      </w:r>
      <w:proofErr w:type="spellStart"/>
      <w:r w:rsidR="00173EE7">
        <w:t>Pagesa</w:t>
      </w:r>
      <w:proofErr w:type="spellEnd"/>
      <w:r w:rsidR="00173EE7">
        <w:t xml:space="preserve"> </w:t>
      </w:r>
      <w:proofErr w:type="spellStart"/>
      <w:r w:rsidR="00173EE7">
        <w:t>nga</w:t>
      </w:r>
      <w:proofErr w:type="spellEnd"/>
      <w:r w:rsidR="00173EE7">
        <w:t xml:space="preserve"> </w:t>
      </w:r>
      <w:proofErr w:type="spellStart"/>
      <w:r w:rsidR="00173EE7">
        <w:t>Drejtoria</w:t>
      </w:r>
      <w:proofErr w:type="spellEnd"/>
      <w:r w:rsidR="00173EE7">
        <w:t xml:space="preserve"> e </w:t>
      </w:r>
      <w:proofErr w:type="spellStart"/>
      <w:r w:rsidR="00173EE7">
        <w:t>Shë</w:t>
      </w:r>
      <w:r w:rsidR="00173EE7" w:rsidRPr="00173EE7">
        <w:t>n</w:t>
      </w:r>
      <w:r w:rsidR="00173EE7">
        <w:t>detësisë</w:t>
      </w:r>
      <w:proofErr w:type="spellEnd"/>
      <w:r w:rsidR="00173EE7">
        <w:t xml:space="preserve"> </w:t>
      </w:r>
      <w:proofErr w:type="spellStart"/>
      <w:r w:rsidR="00173EE7">
        <w:t>ndaj</w:t>
      </w:r>
      <w:proofErr w:type="spellEnd"/>
      <w:r w:rsidR="00173EE7">
        <w:t xml:space="preserve"> </w:t>
      </w:r>
      <w:proofErr w:type="spellStart"/>
      <w:r w:rsidR="00980CEC">
        <w:t>mjekë</w:t>
      </w:r>
      <w:r w:rsidR="00173EE7" w:rsidRPr="00173EE7">
        <w:t>ve</w:t>
      </w:r>
      <w:proofErr w:type="spellEnd"/>
      <w:r w:rsidR="00173EE7" w:rsidRPr="00173EE7">
        <w:t xml:space="preserve"> specialist </w:t>
      </w:r>
      <w:proofErr w:type="spellStart"/>
      <w:r w:rsidR="00173EE7">
        <w:t>të</w:t>
      </w:r>
      <w:proofErr w:type="spellEnd"/>
      <w:r w:rsidR="00173EE7">
        <w:t xml:space="preserve"> </w:t>
      </w:r>
      <w:proofErr w:type="spellStart"/>
      <w:r w:rsidR="00173EE7">
        <w:t>angazhuar</w:t>
      </w:r>
      <w:proofErr w:type="spellEnd"/>
      <w:r w:rsidR="00173EE7">
        <w:t xml:space="preserve"> ne QKMF, </w:t>
      </w:r>
      <w:proofErr w:type="spellStart"/>
      <w:r w:rsidR="00173EE7" w:rsidRPr="00173EE7">
        <w:t>shuma</w:t>
      </w:r>
      <w:proofErr w:type="spellEnd"/>
      <w:r w:rsidR="00173EE7" w:rsidRPr="00173EE7">
        <w:t xml:space="preserve"> 7,000.00 euro</w:t>
      </w:r>
      <w:r w:rsidR="00173EE7">
        <w:t xml:space="preserve">. </w:t>
      </w:r>
    </w:p>
    <w:p w:rsidR="00CE2A2E" w:rsidRDefault="00CE2A2E"/>
    <w:p w:rsidR="003117BD" w:rsidRDefault="00503B34">
      <w:r w:rsidRPr="00503B34">
        <w:rPr>
          <w:noProof/>
        </w:rPr>
        <w:drawing>
          <wp:inline distT="0" distB="0" distL="0" distR="0">
            <wp:extent cx="6858000" cy="5084507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17" w:rsidRDefault="00B63317"/>
    <w:p w:rsidR="00B63317" w:rsidRDefault="00C9485A">
      <w:r w:rsidRPr="00C9485A">
        <w:rPr>
          <w:noProof/>
        </w:rPr>
        <w:drawing>
          <wp:inline distT="0" distB="0" distL="0" distR="0">
            <wp:extent cx="6858000" cy="2780497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5A" w:rsidRDefault="00C9485A"/>
    <w:p w:rsidR="00C9485A" w:rsidRDefault="00C9485A">
      <w:r w:rsidRPr="00C9485A">
        <w:rPr>
          <w:noProof/>
        </w:rPr>
        <w:lastRenderedPageBreak/>
        <w:drawing>
          <wp:inline distT="0" distB="0" distL="0" distR="0">
            <wp:extent cx="6858000" cy="859966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37" w:rsidRDefault="005E354A">
      <w:r w:rsidRPr="005E354A">
        <w:rPr>
          <w:noProof/>
        </w:rPr>
        <w:lastRenderedPageBreak/>
        <w:drawing>
          <wp:inline distT="0" distB="0" distL="0" distR="0">
            <wp:extent cx="6858000" cy="911248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5E354A">
      <w:r w:rsidRPr="005E354A">
        <w:rPr>
          <w:noProof/>
        </w:rPr>
        <w:lastRenderedPageBreak/>
        <w:drawing>
          <wp:inline distT="0" distB="0" distL="0" distR="0">
            <wp:extent cx="6858000" cy="850793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D56D70">
      <w:r w:rsidRPr="00D56D70">
        <w:rPr>
          <w:noProof/>
        </w:rPr>
        <w:lastRenderedPageBreak/>
        <w:drawing>
          <wp:inline distT="0" distB="0" distL="0" distR="0">
            <wp:extent cx="6858000" cy="4418907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F703DF"/>
    <w:p w:rsidR="00F703DF" w:rsidRDefault="00F703DF">
      <w:pPr>
        <w:sectPr w:rsidR="00F703DF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41" w:rsidRDefault="00DC5241" w:rsidP="006C5B15">
      <w:pPr>
        <w:spacing w:after="0" w:line="240" w:lineRule="auto"/>
      </w:pPr>
      <w:r>
        <w:separator/>
      </w:r>
    </w:p>
  </w:endnote>
  <w:endnote w:type="continuationSeparator" w:id="0">
    <w:p w:rsidR="00DC5241" w:rsidRDefault="00DC5241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18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EB" w:rsidRDefault="00D41CEB">
    <w:pPr>
      <w:pStyle w:val="Footer"/>
      <w:jc w:val="right"/>
    </w:pPr>
  </w:p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41" w:rsidRDefault="00DC5241" w:rsidP="006C5B15">
      <w:pPr>
        <w:spacing w:after="0" w:line="240" w:lineRule="auto"/>
      </w:pPr>
      <w:r>
        <w:separator/>
      </w:r>
    </w:p>
  </w:footnote>
  <w:footnote w:type="continuationSeparator" w:id="0">
    <w:p w:rsidR="00DC5241" w:rsidRDefault="00DC5241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F74"/>
    <w:multiLevelType w:val="hybridMultilevel"/>
    <w:tmpl w:val="D7464138"/>
    <w:lvl w:ilvl="0" w:tplc="890897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B33CE"/>
    <w:multiLevelType w:val="hybridMultilevel"/>
    <w:tmpl w:val="6A605A98"/>
    <w:lvl w:ilvl="0" w:tplc="55167D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52369"/>
    <w:multiLevelType w:val="hybridMultilevel"/>
    <w:tmpl w:val="3B84ACC4"/>
    <w:lvl w:ilvl="0" w:tplc="220A61A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664774FE"/>
    <w:multiLevelType w:val="hybridMultilevel"/>
    <w:tmpl w:val="BD7AA78E"/>
    <w:lvl w:ilvl="0" w:tplc="4118A5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35"/>
  </w:num>
  <w:num w:numId="5">
    <w:abstractNumId w:val="25"/>
  </w:num>
  <w:num w:numId="6">
    <w:abstractNumId w:val="48"/>
  </w:num>
  <w:num w:numId="7">
    <w:abstractNumId w:val="13"/>
  </w:num>
  <w:num w:numId="8">
    <w:abstractNumId w:val="10"/>
  </w:num>
  <w:num w:numId="9">
    <w:abstractNumId w:val="5"/>
  </w:num>
  <w:num w:numId="10">
    <w:abstractNumId w:val="47"/>
  </w:num>
  <w:num w:numId="11">
    <w:abstractNumId w:val="2"/>
  </w:num>
  <w:num w:numId="12">
    <w:abstractNumId w:val="30"/>
  </w:num>
  <w:num w:numId="13">
    <w:abstractNumId w:val="26"/>
  </w:num>
  <w:num w:numId="14">
    <w:abstractNumId w:val="43"/>
  </w:num>
  <w:num w:numId="15">
    <w:abstractNumId w:val="44"/>
  </w:num>
  <w:num w:numId="16">
    <w:abstractNumId w:val="3"/>
  </w:num>
  <w:num w:numId="17">
    <w:abstractNumId w:val="18"/>
  </w:num>
  <w:num w:numId="18">
    <w:abstractNumId w:val="33"/>
  </w:num>
  <w:num w:numId="19">
    <w:abstractNumId w:val="41"/>
  </w:num>
  <w:num w:numId="20">
    <w:abstractNumId w:val="21"/>
  </w:num>
  <w:num w:numId="21">
    <w:abstractNumId w:val="29"/>
  </w:num>
  <w:num w:numId="22">
    <w:abstractNumId w:val="32"/>
  </w:num>
  <w:num w:numId="23">
    <w:abstractNumId w:val="27"/>
  </w:num>
  <w:num w:numId="24">
    <w:abstractNumId w:val="46"/>
  </w:num>
  <w:num w:numId="25">
    <w:abstractNumId w:val="37"/>
  </w:num>
  <w:num w:numId="26">
    <w:abstractNumId w:val="23"/>
  </w:num>
  <w:num w:numId="27">
    <w:abstractNumId w:val="31"/>
  </w:num>
  <w:num w:numId="28">
    <w:abstractNumId w:val="28"/>
  </w:num>
  <w:num w:numId="29">
    <w:abstractNumId w:val="8"/>
  </w:num>
  <w:num w:numId="30">
    <w:abstractNumId w:val="22"/>
  </w:num>
  <w:num w:numId="31">
    <w:abstractNumId w:val="4"/>
  </w:num>
  <w:num w:numId="32">
    <w:abstractNumId w:val="38"/>
  </w:num>
  <w:num w:numId="33">
    <w:abstractNumId w:val="39"/>
  </w:num>
  <w:num w:numId="34">
    <w:abstractNumId w:val="15"/>
  </w:num>
  <w:num w:numId="35">
    <w:abstractNumId w:val="17"/>
  </w:num>
  <w:num w:numId="36">
    <w:abstractNumId w:val="1"/>
  </w:num>
  <w:num w:numId="37">
    <w:abstractNumId w:val="42"/>
  </w:num>
  <w:num w:numId="38">
    <w:abstractNumId w:val="6"/>
  </w:num>
  <w:num w:numId="39">
    <w:abstractNumId w:val="12"/>
  </w:num>
  <w:num w:numId="40">
    <w:abstractNumId w:val="0"/>
  </w:num>
  <w:num w:numId="41">
    <w:abstractNumId w:val="11"/>
  </w:num>
  <w:num w:numId="42">
    <w:abstractNumId w:val="7"/>
  </w:num>
  <w:num w:numId="43">
    <w:abstractNumId w:val="45"/>
  </w:num>
  <w:num w:numId="44">
    <w:abstractNumId w:val="36"/>
  </w:num>
  <w:num w:numId="45">
    <w:abstractNumId w:val="20"/>
  </w:num>
  <w:num w:numId="46">
    <w:abstractNumId w:val="9"/>
  </w:num>
  <w:num w:numId="47">
    <w:abstractNumId w:val="19"/>
  </w:num>
  <w:num w:numId="48">
    <w:abstractNumId w:val="4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7A80"/>
    <w:rsid w:val="00010B41"/>
    <w:rsid w:val="000135C5"/>
    <w:rsid w:val="00015ABC"/>
    <w:rsid w:val="00021C50"/>
    <w:rsid w:val="0002569A"/>
    <w:rsid w:val="000263EB"/>
    <w:rsid w:val="00027066"/>
    <w:rsid w:val="0003213A"/>
    <w:rsid w:val="000333D3"/>
    <w:rsid w:val="00034E73"/>
    <w:rsid w:val="0003612A"/>
    <w:rsid w:val="00045933"/>
    <w:rsid w:val="00045C67"/>
    <w:rsid w:val="00050385"/>
    <w:rsid w:val="00053D0E"/>
    <w:rsid w:val="0006033B"/>
    <w:rsid w:val="00063AFB"/>
    <w:rsid w:val="00072EC8"/>
    <w:rsid w:val="000733E8"/>
    <w:rsid w:val="0008044A"/>
    <w:rsid w:val="00086510"/>
    <w:rsid w:val="00092D35"/>
    <w:rsid w:val="0009354E"/>
    <w:rsid w:val="0009495B"/>
    <w:rsid w:val="00096B0D"/>
    <w:rsid w:val="000A17B0"/>
    <w:rsid w:val="000A365A"/>
    <w:rsid w:val="000A7AAD"/>
    <w:rsid w:val="000B1397"/>
    <w:rsid w:val="000B2699"/>
    <w:rsid w:val="000B27D3"/>
    <w:rsid w:val="000C083E"/>
    <w:rsid w:val="000C21B9"/>
    <w:rsid w:val="000C4D24"/>
    <w:rsid w:val="000D1877"/>
    <w:rsid w:val="000D3CEB"/>
    <w:rsid w:val="000D43BB"/>
    <w:rsid w:val="000F484A"/>
    <w:rsid w:val="00117FC8"/>
    <w:rsid w:val="00125DBC"/>
    <w:rsid w:val="00126A7D"/>
    <w:rsid w:val="0013274F"/>
    <w:rsid w:val="001373A1"/>
    <w:rsid w:val="001374AC"/>
    <w:rsid w:val="001448F3"/>
    <w:rsid w:val="001579CE"/>
    <w:rsid w:val="00160677"/>
    <w:rsid w:val="00172284"/>
    <w:rsid w:val="00173EE7"/>
    <w:rsid w:val="00175EB2"/>
    <w:rsid w:val="00183331"/>
    <w:rsid w:val="001B2F6B"/>
    <w:rsid w:val="001B42B6"/>
    <w:rsid w:val="001B692F"/>
    <w:rsid w:val="001B77D7"/>
    <w:rsid w:val="001C052B"/>
    <w:rsid w:val="001C4FE6"/>
    <w:rsid w:val="001D0EB3"/>
    <w:rsid w:val="001D5E93"/>
    <w:rsid w:val="001D60DD"/>
    <w:rsid w:val="001D79B1"/>
    <w:rsid w:val="001E393D"/>
    <w:rsid w:val="001F3935"/>
    <w:rsid w:val="001F6862"/>
    <w:rsid w:val="00211698"/>
    <w:rsid w:val="002259B5"/>
    <w:rsid w:val="002318A9"/>
    <w:rsid w:val="002353CF"/>
    <w:rsid w:val="002356D8"/>
    <w:rsid w:val="00247AE3"/>
    <w:rsid w:val="00252CFE"/>
    <w:rsid w:val="0026123C"/>
    <w:rsid w:val="002642D3"/>
    <w:rsid w:val="002735B6"/>
    <w:rsid w:val="002832CA"/>
    <w:rsid w:val="00291D8E"/>
    <w:rsid w:val="00296100"/>
    <w:rsid w:val="002A54A4"/>
    <w:rsid w:val="002A5F67"/>
    <w:rsid w:val="002A7DEA"/>
    <w:rsid w:val="002B02E4"/>
    <w:rsid w:val="002B5169"/>
    <w:rsid w:val="002B6B93"/>
    <w:rsid w:val="002B7088"/>
    <w:rsid w:val="002B7B33"/>
    <w:rsid w:val="002C1795"/>
    <w:rsid w:val="002C6715"/>
    <w:rsid w:val="002D5ACF"/>
    <w:rsid w:val="002E1583"/>
    <w:rsid w:val="002E1B05"/>
    <w:rsid w:val="002E3AB0"/>
    <w:rsid w:val="002E77E3"/>
    <w:rsid w:val="002F012C"/>
    <w:rsid w:val="002F30FC"/>
    <w:rsid w:val="002F6FE5"/>
    <w:rsid w:val="002F7E97"/>
    <w:rsid w:val="003065FB"/>
    <w:rsid w:val="003075FB"/>
    <w:rsid w:val="003100EA"/>
    <w:rsid w:val="003117BD"/>
    <w:rsid w:val="003126A0"/>
    <w:rsid w:val="00315A5E"/>
    <w:rsid w:val="003208DB"/>
    <w:rsid w:val="00322314"/>
    <w:rsid w:val="00324F52"/>
    <w:rsid w:val="00326266"/>
    <w:rsid w:val="00326AA1"/>
    <w:rsid w:val="00327CD3"/>
    <w:rsid w:val="003313FA"/>
    <w:rsid w:val="00331D9C"/>
    <w:rsid w:val="003332A2"/>
    <w:rsid w:val="0033453D"/>
    <w:rsid w:val="00335AC8"/>
    <w:rsid w:val="00341A61"/>
    <w:rsid w:val="0034702C"/>
    <w:rsid w:val="00352A9F"/>
    <w:rsid w:val="003569C4"/>
    <w:rsid w:val="003611D6"/>
    <w:rsid w:val="0037371E"/>
    <w:rsid w:val="0037423B"/>
    <w:rsid w:val="00381E8D"/>
    <w:rsid w:val="00384286"/>
    <w:rsid w:val="00386121"/>
    <w:rsid w:val="00392F77"/>
    <w:rsid w:val="003A4A8C"/>
    <w:rsid w:val="003B59AD"/>
    <w:rsid w:val="003C01AC"/>
    <w:rsid w:val="003C1F2D"/>
    <w:rsid w:val="003C34F7"/>
    <w:rsid w:val="003C3E6F"/>
    <w:rsid w:val="003D0F9C"/>
    <w:rsid w:val="003D1C13"/>
    <w:rsid w:val="003D1D2F"/>
    <w:rsid w:val="003D30C6"/>
    <w:rsid w:val="003D76D8"/>
    <w:rsid w:val="003E1830"/>
    <w:rsid w:val="003E55DE"/>
    <w:rsid w:val="003E6E6D"/>
    <w:rsid w:val="003E776F"/>
    <w:rsid w:val="003F46AE"/>
    <w:rsid w:val="00405D4C"/>
    <w:rsid w:val="00405F8A"/>
    <w:rsid w:val="00406F6D"/>
    <w:rsid w:val="00415944"/>
    <w:rsid w:val="0041601B"/>
    <w:rsid w:val="004160C0"/>
    <w:rsid w:val="00421BC6"/>
    <w:rsid w:val="00425929"/>
    <w:rsid w:val="00427342"/>
    <w:rsid w:val="0043362F"/>
    <w:rsid w:val="004430E5"/>
    <w:rsid w:val="00454F59"/>
    <w:rsid w:val="0045786E"/>
    <w:rsid w:val="0046647B"/>
    <w:rsid w:val="00472780"/>
    <w:rsid w:val="00476AC8"/>
    <w:rsid w:val="00491108"/>
    <w:rsid w:val="0049447C"/>
    <w:rsid w:val="00494763"/>
    <w:rsid w:val="00496D8B"/>
    <w:rsid w:val="00496ECC"/>
    <w:rsid w:val="004A1CE0"/>
    <w:rsid w:val="004A2224"/>
    <w:rsid w:val="004B61D6"/>
    <w:rsid w:val="004C1E47"/>
    <w:rsid w:val="004C6806"/>
    <w:rsid w:val="004D1BAC"/>
    <w:rsid w:val="004D2FDF"/>
    <w:rsid w:val="004D49FC"/>
    <w:rsid w:val="004D5A29"/>
    <w:rsid w:val="004E0CC3"/>
    <w:rsid w:val="004E23C3"/>
    <w:rsid w:val="004E2546"/>
    <w:rsid w:val="004E7FDE"/>
    <w:rsid w:val="004F1C5A"/>
    <w:rsid w:val="004F1EE8"/>
    <w:rsid w:val="004F375F"/>
    <w:rsid w:val="004F7FC1"/>
    <w:rsid w:val="00503B34"/>
    <w:rsid w:val="0050423F"/>
    <w:rsid w:val="00505E97"/>
    <w:rsid w:val="005079D9"/>
    <w:rsid w:val="0051649A"/>
    <w:rsid w:val="00520652"/>
    <w:rsid w:val="00525E2B"/>
    <w:rsid w:val="00536750"/>
    <w:rsid w:val="005405CB"/>
    <w:rsid w:val="00542271"/>
    <w:rsid w:val="00542495"/>
    <w:rsid w:val="00550DF5"/>
    <w:rsid w:val="00552560"/>
    <w:rsid w:val="00567E81"/>
    <w:rsid w:val="00581061"/>
    <w:rsid w:val="00592916"/>
    <w:rsid w:val="00593DDD"/>
    <w:rsid w:val="00595439"/>
    <w:rsid w:val="00595620"/>
    <w:rsid w:val="005A13A4"/>
    <w:rsid w:val="005B3A32"/>
    <w:rsid w:val="005B5834"/>
    <w:rsid w:val="005C7551"/>
    <w:rsid w:val="005C776C"/>
    <w:rsid w:val="005D12E6"/>
    <w:rsid w:val="005E12E5"/>
    <w:rsid w:val="005E354A"/>
    <w:rsid w:val="005F143F"/>
    <w:rsid w:val="005F661E"/>
    <w:rsid w:val="00622225"/>
    <w:rsid w:val="00623DD2"/>
    <w:rsid w:val="00630184"/>
    <w:rsid w:val="0063098B"/>
    <w:rsid w:val="00631046"/>
    <w:rsid w:val="0063225B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6356F"/>
    <w:rsid w:val="00675EAB"/>
    <w:rsid w:val="00681337"/>
    <w:rsid w:val="00686B7D"/>
    <w:rsid w:val="00686D3E"/>
    <w:rsid w:val="006B28B1"/>
    <w:rsid w:val="006B5D52"/>
    <w:rsid w:val="006C05C9"/>
    <w:rsid w:val="006C0E79"/>
    <w:rsid w:val="006C1BA1"/>
    <w:rsid w:val="006C34CD"/>
    <w:rsid w:val="006C40F9"/>
    <w:rsid w:val="006C56FE"/>
    <w:rsid w:val="006C5B15"/>
    <w:rsid w:val="006C6FDA"/>
    <w:rsid w:val="006D053D"/>
    <w:rsid w:val="006D1DC9"/>
    <w:rsid w:val="006F13C5"/>
    <w:rsid w:val="006F4219"/>
    <w:rsid w:val="006F4668"/>
    <w:rsid w:val="006F5EBE"/>
    <w:rsid w:val="006F7150"/>
    <w:rsid w:val="00700604"/>
    <w:rsid w:val="00704EB9"/>
    <w:rsid w:val="007060C2"/>
    <w:rsid w:val="00707F0A"/>
    <w:rsid w:val="007152A8"/>
    <w:rsid w:val="0071654B"/>
    <w:rsid w:val="007216E2"/>
    <w:rsid w:val="00727A8E"/>
    <w:rsid w:val="007633B0"/>
    <w:rsid w:val="00767C37"/>
    <w:rsid w:val="00771519"/>
    <w:rsid w:val="007756C3"/>
    <w:rsid w:val="00775E2F"/>
    <w:rsid w:val="00777392"/>
    <w:rsid w:val="00777833"/>
    <w:rsid w:val="00777C16"/>
    <w:rsid w:val="00790440"/>
    <w:rsid w:val="007925BB"/>
    <w:rsid w:val="00792B20"/>
    <w:rsid w:val="00793520"/>
    <w:rsid w:val="007939CC"/>
    <w:rsid w:val="00794D5A"/>
    <w:rsid w:val="007960ED"/>
    <w:rsid w:val="0079617F"/>
    <w:rsid w:val="0079679E"/>
    <w:rsid w:val="007A5911"/>
    <w:rsid w:val="007A6B6C"/>
    <w:rsid w:val="007B7816"/>
    <w:rsid w:val="007C48D5"/>
    <w:rsid w:val="007D372B"/>
    <w:rsid w:val="007D765F"/>
    <w:rsid w:val="007E1701"/>
    <w:rsid w:val="007F29FF"/>
    <w:rsid w:val="007F7858"/>
    <w:rsid w:val="00807DB8"/>
    <w:rsid w:val="008129B8"/>
    <w:rsid w:val="00813967"/>
    <w:rsid w:val="00813EF9"/>
    <w:rsid w:val="008154D1"/>
    <w:rsid w:val="008176E8"/>
    <w:rsid w:val="00825D79"/>
    <w:rsid w:val="008453B1"/>
    <w:rsid w:val="00845EB8"/>
    <w:rsid w:val="00847E38"/>
    <w:rsid w:val="008525B1"/>
    <w:rsid w:val="00855FC8"/>
    <w:rsid w:val="00861E9D"/>
    <w:rsid w:val="00862A6B"/>
    <w:rsid w:val="008634DC"/>
    <w:rsid w:val="00866AC5"/>
    <w:rsid w:val="00867FC0"/>
    <w:rsid w:val="00872346"/>
    <w:rsid w:val="00875990"/>
    <w:rsid w:val="00881D6F"/>
    <w:rsid w:val="00881F92"/>
    <w:rsid w:val="00897A24"/>
    <w:rsid w:val="008A406D"/>
    <w:rsid w:val="008C1396"/>
    <w:rsid w:val="008C4B1C"/>
    <w:rsid w:val="008D1B34"/>
    <w:rsid w:val="008D4F9D"/>
    <w:rsid w:val="008E0104"/>
    <w:rsid w:val="008E254B"/>
    <w:rsid w:val="008E2A2A"/>
    <w:rsid w:val="008E44D9"/>
    <w:rsid w:val="008F1B89"/>
    <w:rsid w:val="008F7569"/>
    <w:rsid w:val="00904417"/>
    <w:rsid w:val="00907C18"/>
    <w:rsid w:val="00916389"/>
    <w:rsid w:val="00920E88"/>
    <w:rsid w:val="009265E5"/>
    <w:rsid w:val="00931A06"/>
    <w:rsid w:val="0093315E"/>
    <w:rsid w:val="0093322D"/>
    <w:rsid w:val="00941A5D"/>
    <w:rsid w:val="00951159"/>
    <w:rsid w:val="009530A3"/>
    <w:rsid w:val="00957BF6"/>
    <w:rsid w:val="00962281"/>
    <w:rsid w:val="009627F4"/>
    <w:rsid w:val="0096699B"/>
    <w:rsid w:val="009739F2"/>
    <w:rsid w:val="009758AC"/>
    <w:rsid w:val="00976288"/>
    <w:rsid w:val="00980CEC"/>
    <w:rsid w:val="0099168E"/>
    <w:rsid w:val="009916E4"/>
    <w:rsid w:val="00992A48"/>
    <w:rsid w:val="0099472C"/>
    <w:rsid w:val="00994CA5"/>
    <w:rsid w:val="009A1D7D"/>
    <w:rsid w:val="009A2F27"/>
    <w:rsid w:val="009A5CFE"/>
    <w:rsid w:val="009B0277"/>
    <w:rsid w:val="009B1543"/>
    <w:rsid w:val="009C00D4"/>
    <w:rsid w:val="009C6ECA"/>
    <w:rsid w:val="009D23D8"/>
    <w:rsid w:val="009D5434"/>
    <w:rsid w:val="009E1C38"/>
    <w:rsid w:val="009E6F66"/>
    <w:rsid w:val="009F6385"/>
    <w:rsid w:val="00A030ED"/>
    <w:rsid w:val="00A059BA"/>
    <w:rsid w:val="00A07614"/>
    <w:rsid w:val="00A16DA4"/>
    <w:rsid w:val="00A16EFA"/>
    <w:rsid w:val="00A2365A"/>
    <w:rsid w:val="00A31414"/>
    <w:rsid w:val="00A31DCC"/>
    <w:rsid w:val="00A36C4B"/>
    <w:rsid w:val="00A41E4A"/>
    <w:rsid w:val="00A41E70"/>
    <w:rsid w:val="00A46674"/>
    <w:rsid w:val="00A5242B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A4638"/>
    <w:rsid w:val="00AB06AE"/>
    <w:rsid w:val="00AB08F8"/>
    <w:rsid w:val="00AC1EB1"/>
    <w:rsid w:val="00AC48C9"/>
    <w:rsid w:val="00AE27EB"/>
    <w:rsid w:val="00B06F64"/>
    <w:rsid w:val="00B16BF7"/>
    <w:rsid w:val="00B1786F"/>
    <w:rsid w:val="00B37C10"/>
    <w:rsid w:val="00B4797E"/>
    <w:rsid w:val="00B5688B"/>
    <w:rsid w:val="00B61CCD"/>
    <w:rsid w:val="00B63317"/>
    <w:rsid w:val="00B63398"/>
    <w:rsid w:val="00B65904"/>
    <w:rsid w:val="00B679BE"/>
    <w:rsid w:val="00B70B01"/>
    <w:rsid w:val="00B731A8"/>
    <w:rsid w:val="00B73F7C"/>
    <w:rsid w:val="00B76146"/>
    <w:rsid w:val="00B83F82"/>
    <w:rsid w:val="00B93A28"/>
    <w:rsid w:val="00B9531A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0C67"/>
    <w:rsid w:val="00BF652D"/>
    <w:rsid w:val="00BF7573"/>
    <w:rsid w:val="00BF7B2C"/>
    <w:rsid w:val="00C01F03"/>
    <w:rsid w:val="00C13B25"/>
    <w:rsid w:val="00C36787"/>
    <w:rsid w:val="00C45667"/>
    <w:rsid w:val="00C523EB"/>
    <w:rsid w:val="00C54235"/>
    <w:rsid w:val="00C549D1"/>
    <w:rsid w:val="00C55009"/>
    <w:rsid w:val="00C6440D"/>
    <w:rsid w:val="00C65C6D"/>
    <w:rsid w:val="00C66AE3"/>
    <w:rsid w:val="00C673F6"/>
    <w:rsid w:val="00C67412"/>
    <w:rsid w:val="00C67F56"/>
    <w:rsid w:val="00C70ABD"/>
    <w:rsid w:val="00C74CE7"/>
    <w:rsid w:val="00C763AB"/>
    <w:rsid w:val="00C764D1"/>
    <w:rsid w:val="00C77279"/>
    <w:rsid w:val="00C77A6F"/>
    <w:rsid w:val="00C8143C"/>
    <w:rsid w:val="00C84E54"/>
    <w:rsid w:val="00C85CEF"/>
    <w:rsid w:val="00C91495"/>
    <w:rsid w:val="00C91DAC"/>
    <w:rsid w:val="00C9485A"/>
    <w:rsid w:val="00C95581"/>
    <w:rsid w:val="00CA488C"/>
    <w:rsid w:val="00CA7A30"/>
    <w:rsid w:val="00CB04BD"/>
    <w:rsid w:val="00CB3057"/>
    <w:rsid w:val="00CC7206"/>
    <w:rsid w:val="00CD1473"/>
    <w:rsid w:val="00CD4F9A"/>
    <w:rsid w:val="00CE17F9"/>
    <w:rsid w:val="00CE2A2E"/>
    <w:rsid w:val="00CE3CD8"/>
    <w:rsid w:val="00CE5E11"/>
    <w:rsid w:val="00CF33A9"/>
    <w:rsid w:val="00D12440"/>
    <w:rsid w:val="00D14337"/>
    <w:rsid w:val="00D1593F"/>
    <w:rsid w:val="00D17B59"/>
    <w:rsid w:val="00D32F6B"/>
    <w:rsid w:val="00D33538"/>
    <w:rsid w:val="00D40333"/>
    <w:rsid w:val="00D41CEB"/>
    <w:rsid w:val="00D524C0"/>
    <w:rsid w:val="00D56D70"/>
    <w:rsid w:val="00D6399F"/>
    <w:rsid w:val="00D64165"/>
    <w:rsid w:val="00D71B36"/>
    <w:rsid w:val="00D7480E"/>
    <w:rsid w:val="00D748DD"/>
    <w:rsid w:val="00D82753"/>
    <w:rsid w:val="00D93B44"/>
    <w:rsid w:val="00D9546C"/>
    <w:rsid w:val="00D961B1"/>
    <w:rsid w:val="00D9662A"/>
    <w:rsid w:val="00DA513C"/>
    <w:rsid w:val="00DA5C06"/>
    <w:rsid w:val="00DA7F38"/>
    <w:rsid w:val="00DB1A92"/>
    <w:rsid w:val="00DC0B7A"/>
    <w:rsid w:val="00DC1716"/>
    <w:rsid w:val="00DC5241"/>
    <w:rsid w:val="00DC6A32"/>
    <w:rsid w:val="00DD04A3"/>
    <w:rsid w:val="00DD3131"/>
    <w:rsid w:val="00DD5890"/>
    <w:rsid w:val="00DE1403"/>
    <w:rsid w:val="00DE43A8"/>
    <w:rsid w:val="00DF4E37"/>
    <w:rsid w:val="00E02257"/>
    <w:rsid w:val="00E10B1F"/>
    <w:rsid w:val="00E11F37"/>
    <w:rsid w:val="00E1265D"/>
    <w:rsid w:val="00E13047"/>
    <w:rsid w:val="00E1445F"/>
    <w:rsid w:val="00E224B7"/>
    <w:rsid w:val="00E25470"/>
    <w:rsid w:val="00E3645E"/>
    <w:rsid w:val="00E36D6B"/>
    <w:rsid w:val="00E37D3B"/>
    <w:rsid w:val="00E4568E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6E27"/>
    <w:rsid w:val="00EC76E0"/>
    <w:rsid w:val="00ED4A17"/>
    <w:rsid w:val="00ED725E"/>
    <w:rsid w:val="00EE140A"/>
    <w:rsid w:val="00EE2992"/>
    <w:rsid w:val="00EE4739"/>
    <w:rsid w:val="00EE5506"/>
    <w:rsid w:val="00EF1AE1"/>
    <w:rsid w:val="00EF1BC2"/>
    <w:rsid w:val="00EF1D36"/>
    <w:rsid w:val="00F01400"/>
    <w:rsid w:val="00F02851"/>
    <w:rsid w:val="00F02DF0"/>
    <w:rsid w:val="00F117DA"/>
    <w:rsid w:val="00F1362F"/>
    <w:rsid w:val="00F20479"/>
    <w:rsid w:val="00F3029C"/>
    <w:rsid w:val="00F369B6"/>
    <w:rsid w:val="00F46678"/>
    <w:rsid w:val="00F53361"/>
    <w:rsid w:val="00F608BD"/>
    <w:rsid w:val="00F703DF"/>
    <w:rsid w:val="00F77CF4"/>
    <w:rsid w:val="00F80717"/>
    <w:rsid w:val="00F80963"/>
    <w:rsid w:val="00F8499C"/>
    <w:rsid w:val="00F86537"/>
    <w:rsid w:val="00F86926"/>
    <w:rsid w:val="00F87D63"/>
    <w:rsid w:val="00F90403"/>
    <w:rsid w:val="00F91E72"/>
    <w:rsid w:val="00FA493C"/>
    <w:rsid w:val="00FA4FAF"/>
    <w:rsid w:val="00FB58AB"/>
    <w:rsid w:val="00FB60AD"/>
    <w:rsid w:val="00FD09E0"/>
    <w:rsid w:val="00FD1119"/>
    <w:rsid w:val="00FD1FEC"/>
    <w:rsid w:val="00FD652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365E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  <w:style w:type="paragraph" w:styleId="NormalWeb">
    <w:name w:val="Normal (Web)"/>
    <w:basedOn w:val="Normal"/>
    <w:uiPriority w:val="99"/>
    <w:semiHidden/>
    <w:unhideWhenUsed/>
    <w:rsid w:val="000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205D5-3790-49D9-AB81-CBE225B4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9486</TotalTime>
  <Pages>16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GJASHTË MUJOR FINANCIAR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GJASHTË MUJOR FINANCIAR</dc:title>
  <dc:subject>Për Kuvendin Komunal</dc:subject>
  <dc:creator>fikriverbani</dc:creator>
  <cp:lastModifiedBy>Bahri I. Selimi</cp:lastModifiedBy>
  <cp:revision>439</cp:revision>
  <cp:lastPrinted>2024-07-16T08:43:00Z</cp:lastPrinted>
  <dcterms:created xsi:type="dcterms:W3CDTF">2015-02-15T14:10:00Z</dcterms:created>
  <dcterms:modified xsi:type="dcterms:W3CDTF">2024-07-16T11:59:00Z</dcterms:modified>
</cp:coreProperties>
</file>