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2B" w:rsidRPr="00371EB2" w:rsidRDefault="006A2579" w:rsidP="00F6632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2B" w:rsidRPr="00371EB2" w:rsidRDefault="00F6632B" w:rsidP="00F6632B">
      <w:pPr>
        <w:jc w:val="center"/>
        <w:rPr>
          <w:b/>
          <w:i/>
          <w:sz w:val="28"/>
          <w:szCs w:val="28"/>
        </w:rPr>
      </w:pPr>
    </w:p>
    <w:p w:rsidR="00F6632B" w:rsidRPr="00E65775" w:rsidRDefault="006A2579" w:rsidP="00F6632B">
      <w:pPr>
        <w:jc w:val="center"/>
        <w:rPr>
          <w:b/>
          <w:i/>
          <w:sz w:val="32"/>
          <w:szCs w:val="32"/>
        </w:rPr>
      </w:pPr>
      <w:r w:rsidRPr="00E65775">
        <w:rPr>
          <w:b/>
          <w:i/>
          <w:sz w:val="32"/>
          <w:szCs w:val="32"/>
        </w:rPr>
        <w:t>Komuna e Malishevës</w:t>
      </w: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683472" w:rsidRDefault="00683472" w:rsidP="00F6632B">
      <w:pPr>
        <w:jc w:val="center"/>
        <w:rPr>
          <w:b/>
          <w:i/>
        </w:rPr>
      </w:pPr>
    </w:p>
    <w:p w:rsidR="00683472" w:rsidRDefault="00683472" w:rsidP="00F6632B">
      <w:pPr>
        <w:jc w:val="center"/>
        <w:rPr>
          <w:b/>
          <w:i/>
        </w:rPr>
      </w:pPr>
    </w:p>
    <w:p w:rsidR="00F6632B" w:rsidRPr="00126654" w:rsidRDefault="00BC01C1" w:rsidP="00F6632B">
      <w:pPr>
        <w:jc w:val="center"/>
        <w:rPr>
          <w:b/>
        </w:rPr>
      </w:pPr>
      <w:r w:rsidRPr="00126654">
        <w:rPr>
          <w:b/>
        </w:rPr>
        <w:t>PROPOZIM</w:t>
      </w:r>
    </w:p>
    <w:p w:rsidR="00F6632B" w:rsidRDefault="00F6632B" w:rsidP="00F6632B">
      <w:pPr>
        <w:jc w:val="center"/>
        <w:rPr>
          <w:b/>
          <w:i/>
        </w:rPr>
      </w:pPr>
    </w:p>
    <w:p w:rsid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371EB2" w:rsidRDefault="00F6632B" w:rsidP="00F6632B">
      <w:pPr>
        <w:jc w:val="center"/>
        <w:rPr>
          <w:b/>
          <w:bCs/>
          <w:sz w:val="36"/>
          <w:szCs w:val="36"/>
        </w:rPr>
      </w:pPr>
      <w:r w:rsidRPr="00371EB2">
        <w:rPr>
          <w:b/>
          <w:bCs/>
          <w:sz w:val="36"/>
          <w:szCs w:val="36"/>
        </w:rPr>
        <w:t xml:space="preserve">RREGULLORE PËR TATIMIN </w:t>
      </w:r>
    </w:p>
    <w:p w:rsidR="00F6632B" w:rsidRPr="00371EB2" w:rsidRDefault="00F6632B" w:rsidP="00F6632B">
      <w:pPr>
        <w:jc w:val="center"/>
        <w:rPr>
          <w:b/>
          <w:bCs/>
          <w:sz w:val="36"/>
          <w:szCs w:val="36"/>
          <w:lang w:val="de-DE"/>
        </w:rPr>
      </w:pPr>
      <w:r w:rsidRPr="00371EB2">
        <w:rPr>
          <w:b/>
          <w:bCs/>
          <w:sz w:val="36"/>
          <w:szCs w:val="36"/>
          <w:lang w:val="de-DE"/>
        </w:rPr>
        <w:t>MBI PRONËN E PALUAJTSHME PËR VITIN 2019</w:t>
      </w:r>
    </w:p>
    <w:p w:rsidR="00E66F99" w:rsidRPr="00F6632B" w:rsidRDefault="00E66F99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371EB2" w:rsidRDefault="00683472" w:rsidP="00683472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Dhjetor</w:t>
      </w:r>
      <w:r w:rsidR="00F6632B" w:rsidRPr="00371EB2">
        <w:rPr>
          <w:sz w:val="28"/>
          <w:szCs w:val="28"/>
        </w:rPr>
        <w:t xml:space="preserve"> 2018</w:t>
      </w:r>
    </w:p>
    <w:p w:rsidR="006B44EA" w:rsidRDefault="006B44EA" w:rsidP="00F6632B">
      <w:pPr>
        <w:jc w:val="both"/>
      </w:pPr>
    </w:p>
    <w:p w:rsidR="00F6632B" w:rsidRPr="00F6632B" w:rsidRDefault="00F6632B" w:rsidP="00F6632B">
      <w:pPr>
        <w:jc w:val="both"/>
      </w:pPr>
      <w:r w:rsidRPr="00F6632B">
        <w:t xml:space="preserve">Në mbështetje </w:t>
      </w:r>
      <w:r w:rsidR="00B32F7D">
        <w:t xml:space="preserve">të Ligjit Nr. 03/L-204, </w:t>
      </w:r>
      <w:r w:rsidRPr="00F6632B">
        <w:t>të Ligjit Nr. 06/L-005 për T</w:t>
      </w:r>
      <w:r w:rsidR="00BC01C1">
        <w:t xml:space="preserve">atimin në Pronën e Paluajtshme </w:t>
      </w:r>
      <w:r w:rsidRPr="00F6632B">
        <w:t>neni</w:t>
      </w:r>
      <w:r w:rsidR="00B32F7D">
        <w:t>t 9.1, si dhe të Ligjit Nr. 03/L-040 për Vetëqeverisje L</w:t>
      </w:r>
      <w:r w:rsidRPr="00F6632B">
        <w:t xml:space="preserve">okale, Drejtoria </w:t>
      </w:r>
      <w:r w:rsidR="000A7BBB">
        <w:t>për</w:t>
      </w:r>
      <w:r>
        <w:t xml:space="preserve"> Buxhet dhe Financa e Komun</w:t>
      </w:r>
      <w:r w:rsidR="000A7BBB">
        <w:t>ë</w:t>
      </w:r>
      <w:r>
        <w:t>s s</w:t>
      </w:r>
      <w:r w:rsidR="000A7BBB">
        <w:t>ë</w:t>
      </w:r>
      <w:r w:rsidR="00727AB8">
        <w:t xml:space="preserve"> Malishevës</w:t>
      </w:r>
      <w:r w:rsidRPr="00F6632B">
        <w:t>propozon këtë:</w:t>
      </w:r>
    </w:p>
    <w:p w:rsidR="00F6632B" w:rsidRDefault="00F6632B" w:rsidP="00F6632B">
      <w:pPr>
        <w:jc w:val="both"/>
      </w:pPr>
    </w:p>
    <w:p w:rsidR="00F6632B" w:rsidRPr="00F6632B" w:rsidRDefault="00F6632B" w:rsidP="00F6632B">
      <w:pPr>
        <w:jc w:val="both"/>
      </w:pPr>
    </w:p>
    <w:p w:rsidR="00F6632B" w:rsidRDefault="00F6632B" w:rsidP="00F6632B">
      <w:pPr>
        <w:pStyle w:val="Heading1"/>
        <w:rPr>
          <w:sz w:val="24"/>
        </w:rPr>
      </w:pPr>
      <w:r w:rsidRPr="00A7535C">
        <w:rPr>
          <w:sz w:val="24"/>
        </w:rPr>
        <w:t>RREGULLORE P</w:t>
      </w:r>
      <w:r w:rsidR="000A7BBB">
        <w:rPr>
          <w:sz w:val="24"/>
        </w:rPr>
        <w:t>Ë</w:t>
      </w:r>
      <w:r w:rsidRPr="00A7535C">
        <w:rPr>
          <w:sz w:val="24"/>
        </w:rPr>
        <w:t>R TATIMIN NË PRONËN E PALUAJTSHME</w:t>
      </w:r>
    </w:p>
    <w:p w:rsidR="00A7535C" w:rsidRPr="00A7535C" w:rsidRDefault="00A7535C" w:rsidP="00A7535C"/>
    <w:p w:rsidR="00F6632B" w:rsidRPr="00A7535C" w:rsidRDefault="00F6632B" w:rsidP="00683472">
      <w:pPr>
        <w:pStyle w:val="Heading1"/>
        <w:numPr>
          <w:ilvl w:val="0"/>
          <w:numId w:val="17"/>
        </w:numPr>
        <w:jc w:val="left"/>
        <w:rPr>
          <w:sz w:val="24"/>
        </w:rPr>
      </w:pPr>
      <w:r w:rsidRPr="00A7535C">
        <w:rPr>
          <w:sz w:val="24"/>
        </w:rPr>
        <w:t>për vitin 2019</w:t>
      </w:r>
    </w:p>
    <w:p w:rsidR="00F6632B" w:rsidRDefault="00F6632B" w:rsidP="00F6632B">
      <w:pPr>
        <w:jc w:val="both"/>
      </w:pPr>
    </w:p>
    <w:p w:rsidR="00F6632B" w:rsidRPr="00F6632B" w:rsidRDefault="00F6632B" w:rsidP="00F6632B">
      <w:pPr>
        <w:jc w:val="both"/>
      </w:pPr>
    </w:p>
    <w:p w:rsidR="00F6632B" w:rsidRDefault="00F6632B" w:rsidP="00F6632B">
      <w:pPr>
        <w:jc w:val="center"/>
        <w:rPr>
          <w:b/>
          <w:bCs/>
        </w:rPr>
      </w:pPr>
      <w:r>
        <w:rPr>
          <w:b/>
          <w:bCs/>
        </w:rPr>
        <w:t>Neni 1</w:t>
      </w:r>
    </w:p>
    <w:p w:rsidR="00F6632B" w:rsidRPr="00F6632B" w:rsidRDefault="00F6632B" w:rsidP="00F6632B">
      <w:pPr>
        <w:jc w:val="center"/>
        <w:rPr>
          <w:b/>
          <w:bCs/>
        </w:rPr>
      </w:pPr>
      <w:r>
        <w:rPr>
          <w:b/>
          <w:bCs/>
        </w:rPr>
        <w:t>Baza Tatimore</w:t>
      </w:r>
    </w:p>
    <w:p w:rsidR="00F6632B" w:rsidRPr="00F6632B" w:rsidRDefault="00F6632B" w:rsidP="00F6632B">
      <w:pPr>
        <w:jc w:val="both"/>
        <w:rPr>
          <w:b/>
          <w:bCs/>
        </w:rPr>
      </w:pPr>
    </w:p>
    <w:p w:rsidR="00F6632B" w:rsidRPr="00F6632B" w:rsidRDefault="003C72CA" w:rsidP="00F6632B">
      <w:pPr>
        <w:jc w:val="both"/>
      </w:pPr>
      <w:r>
        <w:rPr>
          <w:bCs/>
        </w:rPr>
        <w:t xml:space="preserve">Për vitin 2019 </w:t>
      </w:r>
      <w:r w:rsidR="00124A77">
        <w:rPr>
          <w:bCs/>
        </w:rPr>
        <w:t xml:space="preserve">zonat tatimore dhe nivelet e vlerave </w:t>
      </w:r>
      <w:r w:rsidR="0059138A">
        <w:rPr>
          <w:bCs/>
        </w:rPr>
        <w:t>për M</w:t>
      </w:r>
      <w:r w:rsidR="0059138A" w:rsidRPr="0059138A">
        <w:rPr>
          <w:bCs/>
          <w:vertAlign w:val="superscript"/>
        </w:rPr>
        <w:t>2</w:t>
      </w:r>
      <w:r w:rsidR="00F6632B" w:rsidRPr="00F6632B">
        <w:t xml:space="preserve">në </w:t>
      </w:r>
      <w:r w:rsidR="00F6632B">
        <w:t>K</w:t>
      </w:r>
      <w:r w:rsidR="00F6632B" w:rsidRPr="00F6632B">
        <w:t xml:space="preserve">omunën e </w:t>
      </w:r>
      <w:r w:rsidR="00F6632B">
        <w:t>(</w:t>
      </w:r>
      <w:r w:rsidR="00A7735C">
        <w:rPr>
          <w:i/>
        </w:rPr>
        <w:t>Komunën e Malishevës</w:t>
      </w:r>
      <w:r w:rsidR="00F6632B">
        <w:t>)</w:t>
      </w:r>
      <w:r w:rsidR="00F6632B" w:rsidRPr="00F6632B">
        <w:t>,</w:t>
      </w:r>
      <w:r w:rsidR="00124A77">
        <w:t xml:space="preserve"> caktohen</w:t>
      </w:r>
      <w:r w:rsidR="00F6632B" w:rsidRPr="00F6632B">
        <w:t xml:space="preserve"> si </w:t>
      </w:r>
      <w:r w:rsidR="00F6632B">
        <w:t>vijon</w:t>
      </w:r>
      <w:r w:rsidR="00F6632B" w:rsidRPr="00F6632B">
        <w:t>:</w:t>
      </w:r>
    </w:p>
    <w:p w:rsidR="00F6632B" w:rsidRPr="00F6632B" w:rsidRDefault="00F6632B" w:rsidP="00F6632B">
      <w:pPr>
        <w:jc w:val="both"/>
      </w:pP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3"/>
        <w:gridCol w:w="782"/>
        <w:gridCol w:w="28"/>
        <w:gridCol w:w="692"/>
        <w:gridCol w:w="118"/>
        <w:gridCol w:w="602"/>
        <w:gridCol w:w="118"/>
        <w:gridCol w:w="602"/>
        <w:gridCol w:w="208"/>
        <w:gridCol w:w="512"/>
        <w:gridCol w:w="720"/>
        <w:gridCol w:w="720"/>
        <w:gridCol w:w="720"/>
        <w:gridCol w:w="720"/>
        <w:gridCol w:w="725"/>
      </w:tblGrid>
      <w:tr w:rsidR="00617996" w:rsidRPr="00F6632B" w:rsidTr="00A7735C">
        <w:trPr>
          <w:trHeight w:val="332"/>
        </w:trPr>
        <w:tc>
          <w:tcPr>
            <w:tcW w:w="2543" w:type="dxa"/>
            <w:vMerge w:val="restart"/>
            <w:vAlign w:val="center"/>
          </w:tcPr>
          <w:p w:rsidR="00617996" w:rsidRPr="00F6632B" w:rsidRDefault="00617996" w:rsidP="00F77191">
            <w:pPr>
              <w:pStyle w:val="BodyText2"/>
              <w:jc w:val="left"/>
              <w:rPr>
                <w:b/>
                <w:bCs/>
                <w:i w:val="0"/>
              </w:rPr>
            </w:pPr>
            <w:r w:rsidRPr="00F6632B">
              <w:rPr>
                <w:b/>
                <w:bCs/>
                <w:i w:val="0"/>
              </w:rPr>
              <w:t xml:space="preserve">Kategoria e </w:t>
            </w:r>
            <w:r>
              <w:rPr>
                <w:b/>
                <w:bCs/>
                <w:i w:val="0"/>
              </w:rPr>
              <w:t>Vlerës</w:t>
            </w:r>
          </w:p>
        </w:tc>
        <w:tc>
          <w:tcPr>
            <w:tcW w:w="3662" w:type="dxa"/>
            <w:gridSpan w:val="9"/>
          </w:tcPr>
          <w:p w:rsidR="00617996" w:rsidRPr="00F6632B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  <w:r>
              <w:rPr>
                <w:b/>
                <w:bCs/>
                <w:i w:val="0"/>
                <w:lang w:val="it-IT"/>
              </w:rPr>
              <w:t>Nivelet e vlerave</w:t>
            </w:r>
            <w:r w:rsidR="00A7735C">
              <w:rPr>
                <w:b/>
                <w:bCs/>
                <w:i w:val="0"/>
                <w:lang w:val="it-IT"/>
              </w:rPr>
              <w:t xml:space="preserve"> pë</w:t>
            </w:r>
            <w:r w:rsidR="00D03962">
              <w:rPr>
                <w:b/>
                <w:bCs/>
                <w:i w:val="0"/>
                <w:lang w:val="it-IT"/>
              </w:rPr>
              <w:t>r M</w:t>
            </w:r>
            <w:r w:rsidR="00D03962" w:rsidRPr="00D03962">
              <w:rPr>
                <w:b/>
                <w:bCs/>
                <w:i w:val="0"/>
                <w:vertAlign w:val="superscript"/>
                <w:lang w:val="it-IT"/>
              </w:rPr>
              <w:t>2</w:t>
            </w:r>
          </w:p>
        </w:tc>
        <w:tc>
          <w:tcPr>
            <w:tcW w:w="720" w:type="dxa"/>
          </w:tcPr>
          <w:p w:rsidR="00617996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720" w:type="dxa"/>
          </w:tcPr>
          <w:p w:rsidR="00617996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720" w:type="dxa"/>
          </w:tcPr>
          <w:p w:rsidR="00617996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720" w:type="dxa"/>
          </w:tcPr>
          <w:p w:rsidR="00617996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725" w:type="dxa"/>
          </w:tcPr>
          <w:p w:rsidR="00617996" w:rsidRDefault="00617996" w:rsidP="00D3317B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</w:tr>
      <w:tr w:rsidR="00617996" w:rsidRPr="00F6632B" w:rsidTr="00A7735C">
        <w:tc>
          <w:tcPr>
            <w:tcW w:w="2543" w:type="dxa"/>
            <w:vMerge/>
            <w:vAlign w:val="center"/>
          </w:tcPr>
          <w:p w:rsidR="00617996" w:rsidRPr="00F6632B" w:rsidRDefault="00617996" w:rsidP="00F77191">
            <w:pPr>
              <w:pStyle w:val="BodyText2"/>
              <w:jc w:val="left"/>
              <w:rPr>
                <w:b/>
                <w:bCs/>
                <w:i w:val="0"/>
              </w:rPr>
            </w:pPr>
          </w:p>
        </w:tc>
        <w:tc>
          <w:tcPr>
            <w:tcW w:w="810" w:type="dxa"/>
            <w:gridSpan w:val="2"/>
          </w:tcPr>
          <w:p w:rsidR="00617996" w:rsidRPr="00D03962" w:rsidRDefault="00A7735C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  <w:r>
              <w:rPr>
                <w:b/>
                <w:bCs/>
                <w:i w:val="0"/>
                <w:sz w:val="20"/>
                <w:szCs w:val="20"/>
                <w:lang w:val="it-IT"/>
              </w:rPr>
              <w:t>Zona parë</w:t>
            </w:r>
          </w:p>
        </w:tc>
        <w:tc>
          <w:tcPr>
            <w:tcW w:w="810" w:type="dxa"/>
            <w:gridSpan w:val="2"/>
          </w:tcPr>
          <w:p w:rsidR="00617996" w:rsidRPr="00D03962" w:rsidRDefault="00A7735C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  <w:r>
              <w:rPr>
                <w:b/>
                <w:bCs/>
                <w:i w:val="0"/>
                <w:sz w:val="20"/>
                <w:szCs w:val="20"/>
                <w:lang w:val="it-IT"/>
              </w:rPr>
              <w:t>Zona dytë</w:t>
            </w:r>
          </w:p>
        </w:tc>
        <w:tc>
          <w:tcPr>
            <w:tcW w:w="720" w:type="dxa"/>
            <w:gridSpan w:val="2"/>
          </w:tcPr>
          <w:p w:rsidR="00617996" w:rsidRPr="00D03962" w:rsidRDefault="00A7735C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  <w:r>
              <w:rPr>
                <w:b/>
                <w:bCs/>
                <w:i w:val="0"/>
                <w:sz w:val="20"/>
                <w:szCs w:val="20"/>
                <w:lang w:val="it-IT"/>
              </w:rPr>
              <w:t>Zona tretë</w:t>
            </w:r>
          </w:p>
        </w:tc>
        <w:tc>
          <w:tcPr>
            <w:tcW w:w="810" w:type="dxa"/>
            <w:gridSpan w:val="2"/>
          </w:tcPr>
          <w:p w:rsidR="00617996" w:rsidRPr="00D03962" w:rsidRDefault="00A7735C" w:rsidP="00A7735C">
            <w:pPr>
              <w:pStyle w:val="BodyText2"/>
              <w:rPr>
                <w:b/>
                <w:bCs/>
                <w:i w:val="0"/>
                <w:sz w:val="20"/>
                <w:szCs w:val="20"/>
                <w:lang w:val="it-IT"/>
              </w:rPr>
            </w:pPr>
            <w:r>
              <w:rPr>
                <w:b/>
                <w:bCs/>
                <w:i w:val="0"/>
                <w:sz w:val="20"/>
                <w:szCs w:val="20"/>
                <w:lang w:val="it-IT"/>
              </w:rPr>
              <w:t>Zona katërt</w:t>
            </w:r>
          </w:p>
        </w:tc>
        <w:tc>
          <w:tcPr>
            <w:tcW w:w="512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</w:p>
        </w:tc>
        <w:tc>
          <w:tcPr>
            <w:tcW w:w="725" w:type="dxa"/>
          </w:tcPr>
          <w:p w:rsidR="00617996" w:rsidRPr="00D03962" w:rsidRDefault="00617996" w:rsidP="00D3317B">
            <w:pPr>
              <w:pStyle w:val="BodyText2"/>
              <w:jc w:val="center"/>
              <w:rPr>
                <w:b/>
                <w:bCs/>
                <w:i w:val="0"/>
                <w:sz w:val="20"/>
                <w:szCs w:val="20"/>
                <w:lang w:val="it-IT"/>
              </w:rPr>
            </w:pPr>
          </w:p>
        </w:tc>
      </w:tr>
      <w:tr w:rsidR="00D03962" w:rsidRPr="00F6632B" w:rsidTr="00D03962">
        <w:tc>
          <w:tcPr>
            <w:tcW w:w="9810" w:type="dxa"/>
            <w:gridSpan w:val="15"/>
            <w:shd w:val="clear" w:color="auto" w:fill="D9D9D9" w:themeFill="background1" w:themeFillShade="D9"/>
            <w:vAlign w:val="center"/>
          </w:tcPr>
          <w:p w:rsidR="00D03962" w:rsidRPr="00AD4463" w:rsidRDefault="00D03962" w:rsidP="00D03962">
            <w:pPr>
              <w:pStyle w:val="BodyText2"/>
              <w:numPr>
                <w:ilvl w:val="0"/>
                <w:numId w:val="16"/>
              </w:numPr>
              <w:ind w:left="337" w:hanging="337"/>
              <w:jc w:val="left"/>
              <w:rPr>
                <w:b/>
                <w:i w:val="0"/>
              </w:rPr>
            </w:pPr>
            <w:r w:rsidRPr="00AD4463">
              <w:rPr>
                <w:b/>
                <w:i w:val="0"/>
              </w:rPr>
              <w:t>Pronë rezidenciale</w:t>
            </w:r>
          </w:p>
        </w:tc>
      </w:tr>
      <w:tr w:rsidR="00617996" w:rsidRPr="00F6632B" w:rsidTr="007C36FE">
        <w:trPr>
          <w:trHeight w:val="395"/>
        </w:trPr>
        <w:tc>
          <w:tcPr>
            <w:tcW w:w="2543" w:type="dxa"/>
          </w:tcPr>
          <w:p w:rsidR="00617996" w:rsidRPr="00F6632B" w:rsidRDefault="00617996" w:rsidP="00C94897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580412">
              <w:t>Shtëpi familjare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255€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213€</w:t>
            </w: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145€</w:t>
            </w: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617996" w:rsidRPr="00F6632B" w:rsidTr="007C36FE">
        <w:trPr>
          <w:trHeight w:val="350"/>
        </w:trPr>
        <w:tc>
          <w:tcPr>
            <w:tcW w:w="2543" w:type="dxa"/>
          </w:tcPr>
          <w:p w:rsidR="00617996" w:rsidRPr="00F6632B" w:rsidRDefault="00617996" w:rsidP="00C94897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580412">
              <w:t>Apartament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298€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255€</w:t>
            </w: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617996" w:rsidRPr="00F6632B" w:rsidTr="00A7735C">
        <w:tc>
          <w:tcPr>
            <w:tcW w:w="2543" w:type="dxa"/>
          </w:tcPr>
          <w:p w:rsidR="00617996" w:rsidRPr="00F6632B" w:rsidRDefault="00617996" w:rsidP="00C94897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580412">
              <w:t>Garazh për shfrytëzim privat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617996" w:rsidRPr="00F6632B" w:rsidTr="00A7735C">
        <w:tc>
          <w:tcPr>
            <w:tcW w:w="2543" w:type="dxa"/>
          </w:tcPr>
          <w:p w:rsidR="00617996" w:rsidRDefault="00617996" w:rsidP="00C94897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580412">
              <w:t>Objekt tjetër rezidencial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D03962" w:rsidRPr="00F6632B" w:rsidTr="00D03962">
        <w:tc>
          <w:tcPr>
            <w:tcW w:w="9810" w:type="dxa"/>
            <w:gridSpan w:val="15"/>
            <w:shd w:val="clear" w:color="auto" w:fill="D9D9D9" w:themeFill="background1" w:themeFillShade="D9"/>
            <w:vAlign w:val="center"/>
          </w:tcPr>
          <w:p w:rsidR="00D03962" w:rsidRPr="00AD4463" w:rsidRDefault="00D03962" w:rsidP="00D03962">
            <w:pPr>
              <w:pStyle w:val="BodyText2"/>
              <w:numPr>
                <w:ilvl w:val="0"/>
                <w:numId w:val="14"/>
              </w:numPr>
              <w:jc w:val="left"/>
              <w:rPr>
                <w:b/>
                <w:i w:val="0"/>
              </w:rPr>
            </w:pPr>
            <w:r w:rsidRPr="00AD4463">
              <w:rPr>
                <w:b/>
                <w:i w:val="0"/>
              </w:rPr>
              <w:t>Pronë komerciale</w:t>
            </w:r>
          </w:p>
        </w:tc>
      </w:tr>
      <w:tr w:rsidR="00617996" w:rsidRPr="00F6632B" w:rsidTr="004E4931">
        <w:trPr>
          <w:trHeight w:val="377"/>
        </w:trPr>
        <w:tc>
          <w:tcPr>
            <w:tcW w:w="2543" w:type="dxa"/>
          </w:tcPr>
          <w:p w:rsidR="00617996" w:rsidRDefault="00617996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Shitore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467€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298€</w:t>
            </w: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238€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4E4931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617996" w:rsidRPr="00F6632B" w:rsidTr="004E4931">
        <w:trPr>
          <w:trHeight w:val="350"/>
        </w:trPr>
        <w:tc>
          <w:tcPr>
            <w:tcW w:w="2543" w:type="dxa"/>
          </w:tcPr>
          <w:p w:rsidR="00617996" w:rsidRDefault="00617996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Zyrë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467€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298€</w:t>
            </w:r>
          </w:p>
        </w:tc>
        <w:tc>
          <w:tcPr>
            <w:tcW w:w="720" w:type="dxa"/>
            <w:gridSpan w:val="2"/>
            <w:vAlign w:val="center"/>
          </w:tcPr>
          <w:p w:rsidR="00617996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238€</w:t>
            </w:r>
          </w:p>
        </w:tc>
        <w:tc>
          <w:tcPr>
            <w:tcW w:w="810" w:type="dxa"/>
            <w:gridSpan w:val="2"/>
            <w:vAlign w:val="center"/>
          </w:tcPr>
          <w:p w:rsidR="00617996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617996" w:rsidRPr="00B32F7D" w:rsidRDefault="00617996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4E4931">
        <w:trPr>
          <w:trHeight w:val="440"/>
        </w:trPr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Restorant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467€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298€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238€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4E4931">
        <w:trPr>
          <w:trHeight w:val="440"/>
        </w:trPr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Hotel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467€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298€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238€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A7735C"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>
              <w:t xml:space="preserve">Objekt për magazinim </w:t>
            </w:r>
            <w:r w:rsidRPr="00580412">
              <w:t>komercial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187€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A7735C"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Garazh komercial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830BBA">
        <w:trPr>
          <w:trHeight w:val="665"/>
        </w:trPr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Pishinë për shfrytëzim komercial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60€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A7735C"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Fushë e hapur sportive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60€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830BBA">
        <w:trPr>
          <w:trHeight w:val="440"/>
        </w:trPr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Fushë e mbyllur sportive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60€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A7735C"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Pompë benzine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467€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298€</w:t>
            </w: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238€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A7735C">
        <w:tc>
          <w:tcPr>
            <w:tcW w:w="2543" w:type="dxa"/>
          </w:tcPr>
          <w:p w:rsidR="00853BCE" w:rsidRPr="00580412" w:rsidRDefault="00853BCE" w:rsidP="00C94897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lastRenderedPageBreak/>
              <w:t>Objekt tjetër komercial</w:t>
            </w: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bCs/>
                <w:i w:val="0"/>
                <w:lang w:val="it-IT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53BCE" w:rsidRPr="00B32F7D" w:rsidRDefault="00853BCE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53BCE" w:rsidRPr="00F6632B" w:rsidTr="00D03962">
        <w:tc>
          <w:tcPr>
            <w:tcW w:w="9810" w:type="dxa"/>
            <w:gridSpan w:val="15"/>
            <w:shd w:val="clear" w:color="auto" w:fill="D9D9D9" w:themeFill="background1" w:themeFillShade="D9"/>
            <w:vAlign w:val="center"/>
          </w:tcPr>
          <w:p w:rsidR="00853BCE" w:rsidRPr="00AD4463" w:rsidRDefault="00853BCE" w:rsidP="00D03962">
            <w:pPr>
              <w:pStyle w:val="BodyText2"/>
              <w:numPr>
                <w:ilvl w:val="0"/>
                <w:numId w:val="15"/>
              </w:numPr>
              <w:jc w:val="left"/>
              <w:rPr>
                <w:b/>
                <w:i w:val="0"/>
              </w:rPr>
            </w:pPr>
            <w:r w:rsidRPr="00AD4463">
              <w:rPr>
                <w:b/>
                <w:i w:val="0"/>
              </w:rPr>
              <w:t>Pronë industriale</w:t>
            </w:r>
          </w:p>
        </w:tc>
      </w:tr>
      <w:tr w:rsidR="00830BBA" w:rsidRPr="00F6632B" w:rsidTr="00A7735C">
        <w:tc>
          <w:tcPr>
            <w:tcW w:w="2543" w:type="dxa"/>
          </w:tcPr>
          <w:p w:rsidR="00830BBA" w:rsidRDefault="00830BBA" w:rsidP="00C94897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t>Fabrikë</w:t>
            </w:r>
          </w:p>
        </w:tc>
        <w:tc>
          <w:tcPr>
            <w:tcW w:w="782" w:type="dxa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187€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30BBA" w:rsidRPr="00F6632B" w:rsidTr="00A7735C">
        <w:tc>
          <w:tcPr>
            <w:tcW w:w="2543" w:type="dxa"/>
          </w:tcPr>
          <w:p w:rsidR="00830BBA" w:rsidRDefault="00830BBA" w:rsidP="00C94897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t>Punishte</w:t>
            </w:r>
          </w:p>
        </w:tc>
        <w:tc>
          <w:tcPr>
            <w:tcW w:w="782" w:type="dxa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187€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30BBA" w:rsidRPr="00F6632B" w:rsidTr="00A7735C">
        <w:tc>
          <w:tcPr>
            <w:tcW w:w="2543" w:type="dxa"/>
          </w:tcPr>
          <w:p w:rsidR="00830BBA" w:rsidRDefault="00830BBA" w:rsidP="00C94897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t>Objekt për magazinim industrial</w:t>
            </w:r>
          </w:p>
        </w:tc>
        <w:tc>
          <w:tcPr>
            <w:tcW w:w="782" w:type="dxa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187€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</w:tr>
      <w:tr w:rsidR="00830BBA" w:rsidRPr="00F6632B" w:rsidTr="00A7735C">
        <w:tc>
          <w:tcPr>
            <w:tcW w:w="2543" w:type="dxa"/>
          </w:tcPr>
          <w:p w:rsidR="00830BBA" w:rsidRDefault="00830BBA" w:rsidP="00C94897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t>Objekt tjetër industrial</w:t>
            </w:r>
          </w:p>
        </w:tc>
        <w:tc>
          <w:tcPr>
            <w:tcW w:w="782" w:type="dxa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213€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187€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5505B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170€</w:t>
            </w:r>
          </w:p>
        </w:tc>
        <w:tc>
          <w:tcPr>
            <w:tcW w:w="720" w:type="dxa"/>
            <w:gridSpan w:val="2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0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725" w:type="dxa"/>
            <w:vAlign w:val="center"/>
          </w:tcPr>
          <w:p w:rsidR="00830BBA" w:rsidRPr="00B32F7D" w:rsidRDefault="00830BBA" w:rsidP="00D03962">
            <w:pPr>
              <w:pStyle w:val="BodyText2"/>
              <w:jc w:val="right"/>
              <w:rPr>
                <w:i w:val="0"/>
              </w:rPr>
            </w:pPr>
          </w:p>
        </w:tc>
      </w:tr>
    </w:tbl>
    <w:p w:rsidR="00F6632B" w:rsidRPr="00F6632B" w:rsidRDefault="00F6632B" w:rsidP="00F6632B">
      <w:pPr>
        <w:ind w:left="720"/>
        <w:rPr>
          <w:bCs/>
        </w:rPr>
      </w:pPr>
    </w:p>
    <w:p w:rsidR="00F6632B" w:rsidRPr="00F6632B" w:rsidRDefault="00F6632B" w:rsidP="00F6632B">
      <w:pPr>
        <w:rPr>
          <w:b/>
          <w:bCs/>
        </w:rPr>
      </w:pPr>
    </w:p>
    <w:p w:rsidR="00F6632B" w:rsidRPr="00F6632B" w:rsidRDefault="00BC01C1" w:rsidP="00F6632B">
      <w:pPr>
        <w:jc w:val="center"/>
        <w:rPr>
          <w:b/>
          <w:bCs/>
        </w:rPr>
      </w:pPr>
      <w:r>
        <w:rPr>
          <w:b/>
          <w:bCs/>
        </w:rPr>
        <w:t>Neni 2</w:t>
      </w:r>
    </w:p>
    <w:p w:rsidR="00F6632B" w:rsidRPr="00371EB2" w:rsidRDefault="00371EB2" w:rsidP="0075063B">
      <w:pPr>
        <w:pStyle w:val="Heading3"/>
        <w:rPr>
          <w:u w:val="none"/>
        </w:rPr>
      </w:pPr>
      <w:r>
        <w:rPr>
          <w:u w:val="none"/>
        </w:rPr>
        <w:t>Zona</w:t>
      </w:r>
      <w:r w:rsidR="00D8234A">
        <w:rPr>
          <w:u w:val="none"/>
        </w:rPr>
        <w:t>t</w:t>
      </w:r>
      <w:r>
        <w:rPr>
          <w:u w:val="none"/>
        </w:rPr>
        <w:t xml:space="preserve"> tatimore</w:t>
      </w:r>
      <w:r w:rsidR="009F18F9">
        <w:rPr>
          <w:u w:val="none"/>
        </w:rPr>
        <w:t xml:space="preserve"> për objekte të ndërtimit</w:t>
      </w:r>
    </w:p>
    <w:p w:rsidR="0075063B" w:rsidRPr="00F6632B" w:rsidRDefault="0075063B" w:rsidP="0075063B">
      <w:pPr>
        <w:jc w:val="center"/>
        <w:rPr>
          <w:b/>
          <w:bCs/>
          <w:u w:val="single"/>
        </w:rPr>
      </w:pPr>
    </w:p>
    <w:p w:rsidR="00F6632B" w:rsidRPr="00B43B6C" w:rsidRDefault="00F6632B" w:rsidP="0075063B">
      <w:pPr>
        <w:pStyle w:val="Heading4"/>
        <w:rPr>
          <w:u w:val="single"/>
        </w:rPr>
      </w:pPr>
    </w:p>
    <w:p w:rsidR="00B43B6C" w:rsidRPr="00B43B6C" w:rsidRDefault="00B43B6C" w:rsidP="00B43B6C"/>
    <w:p w:rsidR="0075063B" w:rsidRPr="00B43B6C" w:rsidRDefault="00B43B6C" w:rsidP="00B43B6C">
      <w:pPr>
        <w:jc w:val="center"/>
        <w:rPr>
          <w:u w:val="single"/>
        </w:rPr>
      </w:pPr>
      <w:r w:rsidRPr="00B43B6C">
        <w:rPr>
          <w:b/>
          <w:bCs/>
        </w:rPr>
        <w:t>2.1 Zona e parë</w:t>
      </w:r>
      <w:r>
        <w:t xml:space="preserve"> tatimore përfshin</w:t>
      </w:r>
      <w:r w:rsidR="001D46B6">
        <w:t>:</w:t>
      </w:r>
      <w:r>
        <w:t xml:space="preserve"> të gjitha banesat, shtëpi d</w:t>
      </w:r>
      <w:r w:rsidR="001D46B6">
        <w:t>he lokale afariste që gjenden</w:t>
      </w:r>
      <w:r>
        <w:t>përskaj rrugës “Adem</w:t>
      </w:r>
      <w:r w:rsidR="009A7F00">
        <w:t xml:space="preserve"> Jashari”,</w:t>
      </w:r>
      <w:r>
        <w:t xml:space="preserve"> Gjergj Kastrioti- Skënder</w:t>
      </w:r>
      <w:r w:rsidR="009A7F00">
        <w:t>b</w:t>
      </w:r>
      <w:r>
        <w:t>eu”,  “Imer Krasniqi”  dhe</w:t>
      </w:r>
      <w:r w:rsidR="001D46B6">
        <w:t xml:space="preserve"> Ibrahim</w:t>
      </w:r>
      <w:r>
        <w:t>Mazreku (ish “Rilindja Kombëtare”) në largësi deri</w:t>
      </w:r>
      <w:r w:rsidR="00A767D4">
        <w:t xml:space="preserve"> në 200 m nga rrugët kryesore në</w:t>
      </w:r>
      <w:r>
        <w:t xml:space="preserve"> Malisheve.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1D46B6" w:rsidRPr="001D46B6" w:rsidRDefault="001D46B6" w:rsidP="00DF6C19">
      <w:pPr>
        <w:pStyle w:val="Heading4"/>
        <w:rPr>
          <w:b w:val="0"/>
        </w:rPr>
      </w:pPr>
      <w:r>
        <w:t xml:space="preserve">2.2 </w:t>
      </w:r>
      <w:r w:rsidR="0075063B" w:rsidRPr="001D46B6">
        <w:t>Zona</w:t>
      </w:r>
      <w:r w:rsidRPr="001D46B6">
        <w:t xml:space="preserve"> e dytë </w:t>
      </w:r>
      <w:r w:rsidRPr="001D46B6">
        <w:rPr>
          <w:b w:val="0"/>
        </w:rPr>
        <w:t>tatimore përfshin</w:t>
      </w:r>
      <w:r w:rsidR="00DF6C19">
        <w:rPr>
          <w:b w:val="0"/>
        </w:rPr>
        <w:t>:</w:t>
      </w:r>
      <w:r w:rsidRPr="001D46B6">
        <w:rPr>
          <w:b w:val="0"/>
        </w:rPr>
        <w:t xml:space="preserve"> të gjithë shtëpitë dhe objektet afariste të cilat janë në brendi të qytetit</w:t>
      </w:r>
      <w:r>
        <w:rPr>
          <w:b w:val="0"/>
        </w:rPr>
        <w:t xml:space="preserve"> Malishevë n</w:t>
      </w:r>
      <w:r w:rsidRPr="001D46B6">
        <w:rPr>
          <w:b w:val="0"/>
        </w:rPr>
        <w:t>ë largësi prej 200 metra jashtë zonës së parë. Si dhe zonën urbane në Banjë dhe zonën urbane në Kijevë.</w:t>
      </w:r>
    </w:p>
    <w:p w:rsidR="0075063B" w:rsidRPr="001D46B6" w:rsidRDefault="0075063B" w:rsidP="0075063B">
      <w:pPr>
        <w:jc w:val="both"/>
        <w:rPr>
          <w:bCs/>
        </w:rPr>
      </w:pPr>
    </w:p>
    <w:p w:rsidR="0075063B" w:rsidRDefault="0075063B" w:rsidP="0075063B">
      <w:pPr>
        <w:jc w:val="both"/>
        <w:rPr>
          <w:bCs/>
          <w:color w:val="000000"/>
        </w:rPr>
      </w:pPr>
    </w:p>
    <w:p w:rsidR="001706CA" w:rsidRDefault="00DF6C19" w:rsidP="001706CA">
      <w:pPr>
        <w:jc w:val="center"/>
        <w:rPr>
          <w:sz w:val="22"/>
          <w:szCs w:val="22"/>
        </w:rPr>
      </w:pPr>
      <w:r w:rsidRPr="001706CA">
        <w:rPr>
          <w:b/>
        </w:rPr>
        <w:t>2.3 Zona e tretë tatimore</w:t>
      </w:r>
      <w:r w:rsidR="001706CA" w:rsidRPr="001706CA">
        <w:t xml:space="preserve"> përfshin</w:t>
      </w:r>
      <w:r w:rsidR="001706CA">
        <w:t>fshatrat: Balincë, Tërpezë e Poshtme, Carrallukë,Llashka Drenoc, Kijevë- zona jo urbane, Bubavec, Lubizhdë, Mirushë, Dragobil, Astrazup, Maxharrë, Bellanicë, Banjë, Mleqan Llazicë dhe Temeqinë.</w:t>
      </w:r>
    </w:p>
    <w:p w:rsidR="0075063B" w:rsidRPr="00DF6C19" w:rsidRDefault="0075063B" w:rsidP="00DF6C19">
      <w:pPr>
        <w:jc w:val="both"/>
        <w:rPr>
          <w:bCs/>
          <w:color w:val="000000"/>
        </w:rPr>
      </w:pPr>
    </w:p>
    <w:p w:rsidR="0075063B" w:rsidRDefault="0075063B" w:rsidP="0075063B">
      <w:pPr>
        <w:jc w:val="both"/>
        <w:rPr>
          <w:bCs/>
          <w:color w:val="000000"/>
        </w:rPr>
      </w:pPr>
    </w:p>
    <w:p w:rsidR="0075063B" w:rsidRPr="002A700D" w:rsidRDefault="002A700D" w:rsidP="002A700D">
      <w:r>
        <w:rPr>
          <w:b/>
        </w:rPr>
        <w:t xml:space="preserve">2.4 </w:t>
      </w:r>
      <w:r w:rsidR="00CD30A0" w:rsidRPr="002A700D">
        <w:rPr>
          <w:b/>
        </w:rPr>
        <w:t xml:space="preserve">Zona </w:t>
      </w:r>
      <w:r w:rsidRPr="002A700D">
        <w:rPr>
          <w:b/>
        </w:rPr>
        <w:t>e katërt tatimore</w:t>
      </w:r>
      <w:r>
        <w:t>përfshin fshatrat rurale të Komunës së Malishevës: Guncat, Bardh ((Lladroviq), Senik,  Lladroc,Tërpezë, Berishë, Kërvasari, Guriq, Pagarushë, Shkozë, Marali,Burim, Gurbardh, Pllaqicë, Vërmicë, Golluboc, Damanek, Bubel, Janqisht, Turjakë, Panorc, Llapqevë dhe Shkarashnik.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75063B" w:rsidRDefault="0075063B" w:rsidP="0075063B">
      <w:pPr>
        <w:jc w:val="both"/>
        <w:rPr>
          <w:bCs/>
          <w:color w:val="000000"/>
        </w:rPr>
      </w:pPr>
    </w:p>
    <w:p w:rsidR="00F6632B" w:rsidRPr="00F6632B" w:rsidRDefault="00BC01C1" w:rsidP="00F6632B">
      <w:pPr>
        <w:jc w:val="center"/>
        <w:rPr>
          <w:b/>
          <w:bCs/>
        </w:rPr>
      </w:pPr>
      <w:r>
        <w:rPr>
          <w:b/>
          <w:bCs/>
        </w:rPr>
        <w:t>Neni 3</w:t>
      </w:r>
    </w:p>
    <w:p w:rsidR="0075063B" w:rsidRDefault="0075063B" w:rsidP="0075063B">
      <w:pPr>
        <w:jc w:val="center"/>
        <w:rPr>
          <w:b/>
          <w:bCs/>
        </w:rPr>
      </w:pPr>
      <w:r>
        <w:rPr>
          <w:b/>
          <w:bCs/>
        </w:rPr>
        <w:t>Normat Tatimore</w:t>
      </w:r>
    </w:p>
    <w:p w:rsidR="0075063B" w:rsidRDefault="0075063B" w:rsidP="0075063B">
      <w:pPr>
        <w:jc w:val="center"/>
        <w:rPr>
          <w:b/>
          <w:bCs/>
        </w:rPr>
      </w:pPr>
    </w:p>
    <w:p w:rsidR="000A7BBB" w:rsidRDefault="00B32F7D" w:rsidP="0075063B">
      <w:pPr>
        <w:jc w:val="both"/>
        <w:rPr>
          <w:bCs/>
          <w:iCs/>
          <w:noProof/>
          <w:lang w:val="hr-HR" w:eastAsia="en-GB"/>
        </w:rPr>
      </w:pPr>
      <w:r>
        <w:t>N</w:t>
      </w:r>
      <w:r w:rsidR="00F6632B" w:rsidRPr="00F6632B">
        <w:t>ë</w:t>
      </w:r>
      <w:r>
        <w:t xml:space="preserve"> zbatim tëLigjit</w:t>
      </w:r>
      <w:r w:rsidR="000A7BBB" w:rsidRPr="00F6632B">
        <w:t xml:space="preserve"> Nr.06/L-005, për Tatimin në Pronën e Paluajtshme</w:t>
      </w:r>
      <w:r w:rsidR="000A7BBB">
        <w:t xml:space="preserve">, </w:t>
      </w:r>
      <w:r>
        <w:t>neni</w:t>
      </w:r>
      <w:r w:rsidR="00F6632B" w:rsidRPr="00F6632B">
        <w:t>9</w:t>
      </w:r>
      <w:r w:rsidR="0075063B">
        <w:t>, paragrafi 1</w:t>
      </w:r>
      <w:r w:rsidR="000A7BBB">
        <w:t>, nën paragrafët 1.1 deri 1.9</w:t>
      </w:r>
      <w:r w:rsidR="00A7535C">
        <w:t>,</w:t>
      </w:r>
      <w:r w:rsidR="0075063B" w:rsidRPr="003952E2">
        <w:rPr>
          <w:bCs/>
          <w:iCs/>
          <w:noProof/>
          <w:lang w:val="hr-HR" w:eastAsia="en-GB"/>
        </w:rPr>
        <w:t xml:space="preserve">Kuvendi Komunal i </w:t>
      </w:r>
      <w:r w:rsidR="002A700D">
        <w:rPr>
          <w:bCs/>
          <w:iCs/>
          <w:noProof/>
          <w:lang w:val="hr-HR" w:eastAsia="en-GB"/>
        </w:rPr>
        <w:t xml:space="preserve">Malishevës </w:t>
      </w:r>
      <w:r w:rsidR="0075063B" w:rsidRPr="003952E2">
        <w:rPr>
          <w:bCs/>
          <w:iCs/>
          <w:noProof/>
          <w:lang w:val="hr-HR" w:eastAsia="en-GB"/>
        </w:rPr>
        <w:t xml:space="preserve">cakton normat tatimore </w:t>
      </w:r>
      <w:r w:rsidR="000A7BBB">
        <w:rPr>
          <w:bCs/>
          <w:iCs/>
          <w:noProof/>
          <w:lang w:val="hr-HR" w:eastAsia="en-GB"/>
        </w:rPr>
        <w:t>p</w:t>
      </w:r>
      <w:r w:rsidR="00371EB2">
        <w:rPr>
          <w:bCs/>
          <w:iCs/>
          <w:noProof/>
          <w:lang w:val="hr-HR" w:eastAsia="en-GB"/>
        </w:rPr>
        <w:t>ë</w:t>
      </w:r>
      <w:r w:rsidR="000A7BBB">
        <w:rPr>
          <w:bCs/>
          <w:iCs/>
          <w:noProof/>
          <w:lang w:val="hr-HR" w:eastAsia="en-GB"/>
        </w:rPr>
        <w:t xml:space="preserve">r vitin 2019 </w:t>
      </w:r>
      <w:r w:rsidR="0075063B" w:rsidRPr="003952E2">
        <w:rPr>
          <w:bCs/>
          <w:iCs/>
          <w:noProof/>
          <w:lang w:val="hr-HR" w:eastAsia="en-GB"/>
        </w:rPr>
        <w:t xml:space="preserve">për të gjitha kategoritë e pronave, me përjashtim të kategorisë pronë publike, </w:t>
      </w:r>
      <w:r w:rsidR="00CA693B">
        <w:rPr>
          <w:bCs/>
          <w:iCs/>
          <w:noProof/>
          <w:lang w:val="hr-HR" w:eastAsia="en-GB"/>
        </w:rPr>
        <w:t>duke u nisur nga minimumi ligjor i parashikuar që ës</w:t>
      </w:r>
      <w:r w:rsidR="00DB30B8">
        <w:rPr>
          <w:bCs/>
          <w:iCs/>
          <w:noProof/>
          <w:lang w:val="hr-HR" w:eastAsia="en-GB"/>
        </w:rPr>
        <w:t xml:space="preserve">htë 0.15% deri 1%  , </w:t>
      </w:r>
      <w:r w:rsidR="000A7BBB">
        <w:rPr>
          <w:bCs/>
          <w:iCs/>
          <w:noProof/>
          <w:lang w:val="hr-HR" w:eastAsia="en-GB"/>
        </w:rPr>
        <w:t>si vijon:</w:t>
      </w:r>
    </w:p>
    <w:p w:rsidR="0068492C" w:rsidRDefault="0068492C" w:rsidP="0075063B">
      <w:pPr>
        <w:jc w:val="both"/>
        <w:rPr>
          <w:bCs/>
          <w:iCs/>
          <w:noProof/>
          <w:lang w:val="hr-HR" w:eastAsia="en-GB"/>
        </w:rPr>
      </w:pPr>
    </w:p>
    <w:p w:rsidR="0068492C" w:rsidRDefault="0068492C" w:rsidP="0075063B">
      <w:pPr>
        <w:jc w:val="both"/>
        <w:rPr>
          <w:bCs/>
          <w:iCs/>
          <w:noProof/>
          <w:lang w:val="hr-HR" w:eastAsia="en-GB"/>
        </w:rPr>
      </w:pPr>
    </w:p>
    <w:p w:rsidR="0068492C" w:rsidRDefault="0068492C" w:rsidP="0075063B">
      <w:pPr>
        <w:jc w:val="both"/>
        <w:rPr>
          <w:bCs/>
          <w:iCs/>
          <w:noProof/>
          <w:lang w:val="hr-HR" w:eastAsia="en-GB"/>
        </w:rPr>
      </w:pPr>
    </w:p>
    <w:p w:rsidR="002C5F1D" w:rsidRDefault="002C5F1D" w:rsidP="0075063B">
      <w:pPr>
        <w:jc w:val="both"/>
        <w:rPr>
          <w:bCs/>
          <w:iCs/>
          <w:noProof/>
          <w:lang w:val="hr-HR" w:eastAsia="en-GB"/>
        </w:rPr>
      </w:pPr>
    </w:p>
    <w:p w:rsidR="002C5F1D" w:rsidRDefault="002C5F1D" w:rsidP="0075063B">
      <w:pPr>
        <w:jc w:val="both"/>
        <w:rPr>
          <w:bCs/>
          <w:iCs/>
          <w:noProof/>
          <w:lang w:val="hr-HR" w:eastAsia="en-GB"/>
        </w:rPr>
      </w:pPr>
    </w:p>
    <w:p w:rsidR="00E4159A" w:rsidRDefault="00E4159A" w:rsidP="0075063B">
      <w:pPr>
        <w:jc w:val="both"/>
        <w:rPr>
          <w:bCs/>
          <w:iCs/>
          <w:noProof/>
          <w:lang w:val="hr-HR" w:eastAsia="en-GB"/>
        </w:rPr>
      </w:pPr>
    </w:p>
    <w:p w:rsidR="00F6632B" w:rsidRPr="00F6632B" w:rsidRDefault="00F6632B" w:rsidP="00F663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  <w:gridCol w:w="3699"/>
      </w:tblGrid>
      <w:tr w:rsidR="00A7535C" w:rsidRPr="00F6632B" w:rsidTr="00371EB2">
        <w:trPr>
          <w:trHeight w:val="197"/>
        </w:trPr>
        <w:tc>
          <w:tcPr>
            <w:tcW w:w="4641" w:type="dxa"/>
          </w:tcPr>
          <w:p w:rsidR="00A7535C" w:rsidRPr="00F6632B" w:rsidRDefault="00A7535C" w:rsidP="009D2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Kategoria e Pronës</w:t>
            </w:r>
          </w:p>
        </w:tc>
        <w:tc>
          <w:tcPr>
            <w:tcW w:w="3699" w:type="dxa"/>
          </w:tcPr>
          <w:p w:rsidR="00A7535C" w:rsidRPr="00F6632B" w:rsidRDefault="00A7535C" w:rsidP="009D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 tatimore</w:t>
            </w:r>
          </w:p>
        </w:tc>
      </w:tr>
      <w:tr w:rsidR="00A7535C" w:rsidRPr="00F6632B" w:rsidTr="00B32F7D">
        <w:trPr>
          <w:trHeight w:val="368"/>
        </w:trPr>
        <w:tc>
          <w:tcPr>
            <w:tcW w:w="4641" w:type="dxa"/>
            <w:vAlign w:val="center"/>
          </w:tcPr>
          <w:p w:rsidR="00A7535C" w:rsidRPr="00F6632B" w:rsidRDefault="00A7535C" w:rsidP="00B32F7D">
            <w:r>
              <w:rPr>
                <w:bCs/>
                <w:iCs/>
                <w:noProof/>
                <w:lang w:val="hr-HR" w:eastAsia="en-GB"/>
              </w:rPr>
              <w:t>P</w:t>
            </w:r>
            <w:r w:rsidR="000A7BBB">
              <w:rPr>
                <w:bCs/>
                <w:iCs/>
                <w:noProof/>
                <w:lang w:val="hr-HR" w:eastAsia="en-GB"/>
              </w:rPr>
              <w:t>ë</w:t>
            </w:r>
            <w:r>
              <w:rPr>
                <w:bCs/>
                <w:iCs/>
                <w:noProof/>
                <w:lang w:val="hr-HR" w:eastAsia="en-GB"/>
              </w:rPr>
              <w:t xml:space="preserve">r </w:t>
            </w:r>
            <w:r w:rsidRPr="003952E2">
              <w:rPr>
                <w:bCs/>
                <w:iCs/>
                <w:noProof/>
                <w:lang w:val="hr-HR" w:eastAsia="en-GB"/>
              </w:rPr>
              <w:t>njësitë bujqësore të parcelave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41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bujqësore të objekteve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pyjore të parcelave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9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rezidenciale të parcelave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rezidenciale të objekteve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41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komerciale të parcelave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komerciale të objekteve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9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industriale të parcelave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industriale të objekteve</w:t>
            </w:r>
          </w:p>
        </w:tc>
        <w:tc>
          <w:tcPr>
            <w:tcW w:w="3699" w:type="dxa"/>
          </w:tcPr>
          <w:p w:rsidR="00A7535C" w:rsidRPr="00F6632B" w:rsidRDefault="00851718" w:rsidP="009D2AB0">
            <w:pPr>
              <w:jc w:val="center"/>
            </w:pPr>
            <w:r>
              <w:t>0.</w:t>
            </w:r>
            <w:r w:rsidR="00830BBA">
              <w:t>15%</w:t>
            </w:r>
          </w:p>
        </w:tc>
      </w:tr>
    </w:tbl>
    <w:p w:rsidR="00F6632B" w:rsidRDefault="00F6632B" w:rsidP="00F6632B">
      <w:pPr>
        <w:rPr>
          <w:b/>
          <w:bCs/>
        </w:rPr>
      </w:pPr>
    </w:p>
    <w:p w:rsidR="0068492C" w:rsidRDefault="0068492C" w:rsidP="00F6632B">
      <w:pPr>
        <w:rPr>
          <w:b/>
          <w:bCs/>
        </w:rPr>
      </w:pPr>
    </w:p>
    <w:p w:rsidR="0068492C" w:rsidRPr="00F6632B" w:rsidRDefault="0068492C" w:rsidP="00F6632B">
      <w:pPr>
        <w:rPr>
          <w:b/>
          <w:bCs/>
        </w:rPr>
      </w:pPr>
    </w:p>
    <w:p w:rsidR="00F6632B" w:rsidRDefault="00B32F7D" w:rsidP="00F6632B">
      <w:pPr>
        <w:jc w:val="center"/>
        <w:rPr>
          <w:b/>
          <w:bCs/>
        </w:rPr>
      </w:pPr>
      <w:r>
        <w:rPr>
          <w:b/>
          <w:bCs/>
        </w:rPr>
        <w:t>Neni 4</w:t>
      </w:r>
    </w:p>
    <w:p w:rsidR="00847775" w:rsidRPr="00F6632B" w:rsidRDefault="00847775" w:rsidP="00F6632B">
      <w:pPr>
        <w:jc w:val="center"/>
        <w:rPr>
          <w:b/>
          <w:bCs/>
        </w:rPr>
      </w:pPr>
      <w:r>
        <w:rPr>
          <w:b/>
          <w:bCs/>
        </w:rPr>
        <w:t>Shfuqizimi</w:t>
      </w:r>
    </w:p>
    <w:p w:rsidR="00F6632B" w:rsidRPr="00F6632B" w:rsidRDefault="00F6632B" w:rsidP="00F6632B">
      <w:pPr>
        <w:rPr>
          <w:b/>
          <w:bCs/>
        </w:rPr>
      </w:pPr>
    </w:p>
    <w:p w:rsidR="00F6632B" w:rsidRDefault="00847775" w:rsidP="00847775">
      <w:pPr>
        <w:pStyle w:val="BodyTextIndent"/>
        <w:ind w:left="0"/>
      </w:pPr>
      <w:r>
        <w:t>Kjo Rregullore sh</w:t>
      </w:r>
      <w:r w:rsidR="00704E86">
        <w:t>fuqizon Rregulloren Nr.02/336</w:t>
      </w:r>
      <w:r w:rsidR="002A700D">
        <w:t xml:space="preserve">, </w:t>
      </w:r>
      <w:r w:rsidR="00704E86">
        <w:t xml:space="preserve">të datës: </w:t>
      </w:r>
      <w:r w:rsidR="002A700D">
        <w:t>15/09/2017</w:t>
      </w:r>
      <w:r w:rsidR="00704E86">
        <w:t xml:space="preserve"> .</w:t>
      </w:r>
    </w:p>
    <w:p w:rsidR="00847775" w:rsidRDefault="00847775" w:rsidP="00847775">
      <w:pPr>
        <w:pStyle w:val="BodyTextIndent"/>
        <w:ind w:left="0"/>
      </w:pPr>
    </w:p>
    <w:p w:rsidR="00847775" w:rsidRDefault="00B32F7D" w:rsidP="00847775">
      <w:pPr>
        <w:jc w:val="center"/>
        <w:rPr>
          <w:b/>
          <w:bCs/>
        </w:rPr>
      </w:pPr>
      <w:r>
        <w:rPr>
          <w:b/>
          <w:bCs/>
        </w:rPr>
        <w:t>Neni 5</w:t>
      </w:r>
    </w:p>
    <w:p w:rsidR="00847775" w:rsidRPr="00F6632B" w:rsidRDefault="00847775" w:rsidP="00847775">
      <w:pPr>
        <w:jc w:val="center"/>
        <w:rPr>
          <w:b/>
          <w:bCs/>
        </w:rPr>
      </w:pPr>
      <w:r>
        <w:rPr>
          <w:b/>
          <w:bCs/>
        </w:rPr>
        <w:t>Hyrja n</w:t>
      </w:r>
      <w:r w:rsidR="000A7BBB">
        <w:rPr>
          <w:b/>
          <w:bCs/>
        </w:rPr>
        <w:t>ë</w:t>
      </w:r>
      <w:r>
        <w:rPr>
          <w:b/>
          <w:bCs/>
        </w:rPr>
        <w:t xml:space="preserve"> fuqi</w:t>
      </w:r>
    </w:p>
    <w:p w:rsidR="00847775" w:rsidRPr="00F6632B" w:rsidRDefault="00847775" w:rsidP="00847775">
      <w:pPr>
        <w:pStyle w:val="BodyTextIndent"/>
        <w:ind w:left="0"/>
      </w:pPr>
    </w:p>
    <w:p w:rsidR="00F6632B" w:rsidRPr="00F6632B" w:rsidRDefault="00F6632B" w:rsidP="00F6632B">
      <w:pPr>
        <w:pStyle w:val="BodyTextIndent"/>
        <w:ind w:left="0"/>
      </w:pPr>
      <w:r w:rsidRPr="00F6632B">
        <w:t>Kjo</w:t>
      </w:r>
      <w:r w:rsidR="00847775">
        <w:t xml:space="preserve"> rregullore hyn në fuqi 8 ditë pas miratimit </w:t>
      </w:r>
      <w:r w:rsidRPr="00F6632B">
        <w:t>nga ana e Kuvendit Komunal</w:t>
      </w:r>
      <w:r w:rsidR="00847775">
        <w:t xml:space="preserve"> dhe do </w:t>
      </w:r>
      <w:r w:rsidR="00B32F7D">
        <w:t xml:space="preserve">të </w:t>
      </w:r>
      <w:r w:rsidR="00847775">
        <w:t xml:space="preserve">filloj së zbatuari nga </w:t>
      </w:r>
      <w:r w:rsidRPr="00F6632B">
        <w:t>1 janari 2019.</w:t>
      </w:r>
    </w:p>
    <w:p w:rsidR="00F6632B" w:rsidRPr="00F6632B" w:rsidRDefault="00F6632B" w:rsidP="00F6632B">
      <w:pPr>
        <w:pStyle w:val="BodyTextIndent"/>
        <w:ind w:left="0" w:firstLine="720"/>
      </w:pPr>
    </w:p>
    <w:p w:rsidR="00F6632B" w:rsidRPr="009F18F9" w:rsidRDefault="00F6632B" w:rsidP="00F6632B">
      <w:pPr>
        <w:rPr>
          <w:i/>
          <w:sz w:val="22"/>
          <w:szCs w:val="22"/>
        </w:rPr>
      </w:pPr>
      <w:r w:rsidRPr="009F18F9">
        <w:rPr>
          <w:i/>
          <w:sz w:val="22"/>
          <w:szCs w:val="22"/>
        </w:rPr>
        <w:t>Rregullorja i dorëzohet:</w:t>
      </w:r>
    </w:p>
    <w:p w:rsidR="009F18F9" w:rsidRPr="00D8234A" w:rsidRDefault="009F18F9" w:rsidP="00F6632B">
      <w:pPr>
        <w:rPr>
          <w:i/>
          <w:sz w:val="22"/>
          <w:szCs w:val="22"/>
        </w:rPr>
      </w:pP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>Komitetit për politikë dhe Financa,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 xml:space="preserve">Drejtorisë për </w:t>
      </w:r>
      <w:r w:rsidR="00D8234A">
        <w:rPr>
          <w:i/>
          <w:sz w:val="22"/>
          <w:szCs w:val="22"/>
        </w:rPr>
        <w:t>Buxhet dhe F</w:t>
      </w:r>
      <w:r w:rsidRPr="00D8234A">
        <w:rPr>
          <w:i/>
          <w:sz w:val="22"/>
          <w:szCs w:val="22"/>
        </w:rPr>
        <w:t>inanca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 xml:space="preserve">Ministrisë për </w:t>
      </w:r>
      <w:r w:rsidR="00D8234A">
        <w:rPr>
          <w:i/>
          <w:sz w:val="22"/>
          <w:szCs w:val="22"/>
        </w:rPr>
        <w:t>Financa</w:t>
      </w:r>
    </w:p>
    <w:p w:rsidR="00F6632B" w:rsidRPr="00D8234A" w:rsidRDefault="00D8234A" w:rsidP="00F6632B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Sektorit të Tatimit në Pronë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>Arkivit komunal</w:t>
      </w:r>
    </w:p>
    <w:p w:rsidR="00847775" w:rsidRDefault="00847775" w:rsidP="00847775">
      <w:pPr>
        <w:ind w:left="720"/>
        <w:rPr>
          <w:i/>
        </w:rPr>
      </w:pPr>
    </w:p>
    <w:p w:rsidR="00847775" w:rsidRDefault="00847775" w:rsidP="00847775">
      <w:pPr>
        <w:ind w:left="720"/>
        <w:rPr>
          <w:i/>
        </w:rPr>
      </w:pPr>
    </w:p>
    <w:p w:rsidR="0068492C" w:rsidRDefault="0068492C" w:rsidP="000A7BBB">
      <w:pPr>
        <w:pStyle w:val="Heading6"/>
        <w:rPr>
          <w:i w:val="0"/>
        </w:rPr>
      </w:pPr>
    </w:p>
    <w:p w:rsidR="0068492C" w:rsidRDefault="0068492C" w:rsidP="000A7BBB">
      <w:pPr>
        <w:pStyle w:val="Heading6"/>
        <w:rPr>
          <w:i w:val="0"/>
        </w:rPr>
      </w:pPr>
    </w:p>
    <w:p w:rsidR="009F18F9" w:rsidRDefault="009F18F9" w:rsidP="000A7BBB">
      <w:pPr>
        <w:pStyle w:val="Heading6"/>
        <w:rPr>
          <w:i w:val="0"/>
        </w:rPr>
      </w:pPr>
    </w:p>
    <w:p w:rsidR="009F18F9" w:rsidRDefault="009F18F9" w:rsidP="000A7BBB">
      <w:pPr>
        <w:pStyle w:val="Heading6"/>
        <w:rPr>
          <w:i w:val="0"/>
        </w:rPr>
      </w:pPr>
    </w:p>
    <w:p w:rsidR="009F18F9" w:rsidRDefault="009F18F9" w:rsidP="000A7BBB">
      <w:pPr>
        <w:pStyle w:val="Heading6"/>
        <w:rPr>
          <w:i w:val="0"/>
        </w:rPr>
      </w:pPr>
    </w:p>
    <w:p w:rsidR="000A7BBB" w:rsidRPr="000A7BBB" w:rsidRDefault="0068492C" w:rsidP="000A7BBB">
      <w:pPr>
        <w:pStyle w:val="Heading6"/>
        <w:rPr>
          <w:i w:val="0"/>
        </w:rPr>
      </w:pPr>
      <w:r>
        <w:rPr>
          <w:i w:val="0"/>
        </w:rPr>
        <w:t xml:space="preserve"> Rr.</w:t>
      </w:r>
      <w:r w:rsidR="00704E86">
        <w:rPr>
          <w:i w:val="0"/>
        </w:rPr>
        <w:t xml:space="preserve"> Nr.</w:t>
      </w:r>
      <w:r w:rsidR="00727AB8">
        <w:rPr>
          <w:i w:val="0"/>
        </w:rPr>
        <w:t>_______</w:t>
      </w:r>
      <w:r>
        <w:rPr>
          <w:i w:val="0"/>
        </w:rPr>
        <w:t>_______</w:t>
      </w:r>
      <w:r w:rsidR="00727AB8">
        <w:rPr>
          <w:i w:val="0"/>
        </w:rPr>
        <w:tab/>
      </w:r>
      <w:r w:rsidR="00727AB8">
        <w:rPr>
          <w:i w:val="0"/>
        </w:rPr>
        <w:tab/>
      </w:r>
      <w:r w:rsidR="00727AB8">
        <w:rPr>
          <w:i w:val="0"/>
        </w:rPr>
        <w:tab/>
      </w:r>
      <w:r w:rsidR="00727AB8">
        <w:rPr>
          <w:i w:val="0"/>
        </w:rPr>
        <w:tab/>
        <w:t>Kryesuesi i Asamblesë Komunale</w:t>
      </w:r>
    </w:p>
    <w:p w:rsidR="000A7BBB" w:rsidRDefault="000A7BBB" w:rsidP="000A7BBB">
      <w:r w:rsidRPr="000A7BBB">
        <w:tab/>
      </w:r>
      <w:r w:rsidRPr="000A7BBB">
        <w:tab/>
      </w:r>
      <w:r w:rsidRPr="000A7BBB">
        <w:tab/>
      </w:r>
      <w:r w:rsidRPr="000A7BBB">
        <w:tab/>
      </w:r>
      <w:r w:rsidRPr="000A7BBB">
        <w:tab/>
      </w:r>
      <w:r w:rsidRPr="000A7BBB">
        <w:tab/>
      </w:r>
      <w:r w:rsidR="00727AB8">
        <w:t xml:space="preserve">                           Rrahim Morina</w:t>
      </w:r>
    </w:p>
    <w:p w:rsidR="000A7BBB" w:rsidRDefault="0068492C" w:rsidP="000A7BBB">
      <w:r>
        <w:t xml:space="preserve">  Datë: ______________</w:t>
      </w:r>
      <w:r w:rsidR="00727AB8">
        <w:t xml:space="preserve"> ___________________</w:t>
      </w:r>
    </w:p>
    <w:p w:rsidR="000A7BBB" w:rsidRPr="000A7BBB" w:rsidRDefault="000A7BBB" w:rsidP="000A7B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(Nënshkrimi)</w:t>
      </w:r>
    </w:p>
    <w:sectPr w:rsidR="000A7BBB" w:rsidRPr="000A7BBB" w:rsidSect="003756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AAB"/>
    <w:multiLevelType w:val="hybridMultilevel"/>
    <w:tmpl w:val="69E8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3E9C"/>
    <w:multiLevelType w:val="multilevel"/>
    <w:tmpl w:val="6F36C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60EAA"/>
    <w:multiLevelType w:val="multilevel"/>
    <w:tmpl w:val="6F36C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FB723F"/>
    <w:multiLevelType w:val="hybridMultilevel"/>
    <w:tmpl w:val="EEFCCC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A5F"/>
    <w:multiLevelType w:val="hybridMultilevel"/>
    <w:tmpl w:val="D0A84908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9A3"/>
    <w:multiLevelType w:val="multilevel"/>
    <w:tmpl w:val="07B60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606358"/>
    <w:multiLevelType w:val="multilevel"/>
    <w:tmpl w:val="06F08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44368E"/>
    <w:multiLevelType w:val="hybridMultilevel"/>
    <w:tmpl w:val="29C25254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542B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506E33"/>
    <w:multiLevelType w:val="hybridMultilevel"/>
    <w:tmpl w:val="DCE4A9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7A43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45F5033"/>
    <w:multiLevelType w:val="hybridMultilevel"/>
    <w:tmpl w:val="61684CB6"/>
    <w:lvl w:ilvl="0" w:tplc="BA5A854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5A12C88"/>
    <w:multiLevelType w:val="multilevel"/>
    <w:tmpl w:val="942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9C91799"/>
    <w:multiLevelType w:val="hybridMultilevel"/>
    <w:tmpl w:val="CA9426B6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130B4"/>
    <w:multiLevelType w:val="hybridMultilevel"/>
    <w:tmpl w:val="980EB76A"/>
    <w:lvl w:ilvl="0" w:tplc="367E0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A01E2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3C7762"/>
    <w:multiLevelType w:val="hybridMultilevel"/>
    <w:tmpl w:val="7748788E"/>
    <w:lvl w:ilvl="0" w:tplc="76E22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32B"/>
    <w:rsid w:val="000A02BF"/>
    <w:rsid w:val="000A7BBB"/>
    <w:rsid w:val="00124369"/>
    <w:rsid w:val="00124A77"/>
    <w:rsid w:val="00126654"/>
    <w:rsid w:val="001706CA"/>
    <w:rsid w:val="001D46B6"/>
    <w:rsid w:val="002A307D"/>
    <w:rsid w:val="002A700D"/>
    <w:rsid w:val="002C5F1D"/>
    <w:rsid w:val="002E1846"/>
    <w:rsid w:val="00371EB2"/>
    <w:rsid w:val="00375640"/>
    <w:rsid w:val="003C72CA"/>
    <w:rsid w:val="003D0929"/>
    <w:rsid w:val="004E4931"/>
    <w:rsid w:val="00561C43"/>
    <w:rsid w:val="0059138A"/>
    <w:rsid w:val="00617996"/>
    <w:rsid w:val="00683472"/>
    <w:rsid w:val="0068492C"/>
    <w:rsid w:val="006A2579"/>
    <w:rsid w:val="006B44EA"/>
    <w:rsid w:val="00704E86"/>
    <w:rsid w:val="00727AB8"/>
    <w:rsid w:val="0075063B"/>
    <w:rsid w:val="007C36FE"/>
    <w:rsid w:val="00830BBA"/>
    <w:rsid w:val="00847775"/>
    <w:rsid w:val="00851718"/>
    <w:rsid w:val="00853BCE"/>
    <w:rsid w:val="009A7F00"/>
    <w:rsid w:val="009F18F9"/>
    <w:rsid w:val="00A7535C"/>
    <w:rsid w:val="00A767D4"/>
    <w:rsid w:val="00A7735C"/>
    <w:rsid w:val="00AD4463"/>
    <w:rsid w:val="00AF3854"/>
    <w:rsid w:val="00B32F7D"/>
    <w:rsid w:val="00B43B6C"/>
    <w:rsid w:val="00B71DE8"/>
    <w:rsid w:val="00BC01C1"/>
    <w:rsid w:val="00BE0371"/>
    <w:rsid w:val="00C720C8"/>
    <w:rsid w:val="00C94897"/>
    <w:rsid w:val="00CA693B"/>
    <w:rsid w:val="00CD30A0"/>
    <w:rsid w:val="00D03962"/>
    <w:rsid w:val="00D3317B"/>
    <w:rsid w:val="00D8234A"/>
    <w:rsid w:val="00D82507"/>
    <w:rsid w:val="00DB30B8"/>
    <w:rsid w:val="00DF6C19"/>
    <w:rsid w:val="00E4159A"/>
    <w:rsid w:val="00E65775"/>
    <w:rsid w:val="00E66F99"/>
    <w:rsid w:val="00EA703D"/>
    <w:rsid w:val="00F34275"/>
    <w:rsid w:val="00F6632B"/>
    <w:rsid w:val="00F77191"/>
    <w:rsid w:val="00F93A8D"/>
    <w:rsid w:val="00F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mallCaps/>
        <w:sz w:val="56"/>
        <w:szCs w:val="56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2B"/>
    <w:pPr>
      <w:spacing w:after="0" w:line="240" w:lineRule="auto"/>
    </w:pPr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Heading1">
    <w:name w:val="heading 1"/>
    <w:basedOn w:val="Normal"/>
    <w:next w:val="Normal"/>
    <w:link w:val="Heading1Char"/>
    <w:qFormat/>
    <w:rsid w:val="00F6632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32B"/>
    <w:pPr>
      <w:keepNext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63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63B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63B"/>
    <w:pPr>
      <w:keepNext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BBB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1EB2"/>
    <w:pPr>
      <w:keepNext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2B"/>
    <w:rPr>
      <w:rFonts w:ascii="Times New Roman" w:eastAsia="Times New Roman" w:hAnsi="Times New Roman"/>
      <w:bCs/>
      <w:smallCaps w:val="0"/>
      <w:sz w:val="36"/>
      <w:szCs w:val="24"/>
      <w:vertAlign w:val="baseline"/>
      <w:lang w:val="sq-AL"/>
    </w:rPr>
  </w:style>
  <w:style w:type="paragraph" w:styleId="BodyTextIndent">
    <w:name w:val="Body Text Indent"/>
    <w:basedOn w:val="Normal"/>
    <w:link w:val="BodyTextIndentChar"/>
    <w:rsid w:val="00F6632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6632B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BodyText2">
    <w:name w:val="Body Text 2"/>
    <w:basedOn w:val="Normal"/>
    <w:link w:val="BodyText2Char"/>
    <w:rsid w:val="00F6632B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F6632B"/>
    <w:rPr>
      <w:rFonts w:ascii="Times New Roman" w:eastAsia="Times New Roman" w:hAnsi="Times New Roman"/>
      <w:b w:val="0"/>
      <w:i/>
      <w:iCs/>
      <w:smallCaps w:val="0"/>
      <w:sz w:val="24"/>
      <w:szCs w:val="24"/>
      <w:vertAlign w:val="baseline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6632B"/>
    <w:rPr>
      <w:rFonts w:ascii="Times New Roman" w:eastAsia="Times New Roman" w:hAnsi="Times New Roman"/>
      <w:bCs/>
      <w:smallCaps w:val="0"/>
      <w:sz w:val="24"/>
      <w:szCs w:val="24"/>
      <w:vertAlign w:val="baseline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u w:val="single"/>
      <w:vertAlign w:val="baseline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vertAlign w:val="baseline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5063B"/>
    <w:rPr>
      <w:rFonts w:ascii="Times New Roman" w:eastAsia="Times New Roman" w:hAnsi="Times New Roman"/>
      <w:bCs/>
      <w:smallCaps w:val="0"/>
      <w:color w:val="000000"/>
      <w:sz w:val="24"/>
      <w:szCs w:val="24"/>
      <w:vertAlign w:val="baseline"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84777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47775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0A7BBB"/>
    <w:rPr>
      <w:rFonts w:ascii="Times New Roman" w:eastAsia="Times New Roman" w:hAnsi="Times New Roman"/>
      <w:b w:val="0"/>
      <w:i/>
      <w:smallCaps w:val="0"/>
      <w:sz w:val="24"/>
      <w:szCs w:val="24"/>
      <w:vertAlign w:val="baseline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371EB2"/>
    <w:rPr>
      <w:rFonts w:ascii="Times New Roman" w:eastAsia="Times New Roman" w:hAnsi="Times New Roman"/>
      <w:bCs/>
      <w:smallCaps w:val="0"/>
      <w:color w:val="FF0000"/>
      <w:sz w:val="24"/>
      <w:szCs w:val="24"/>
      <w:vertAlign w:val="baseline"/>
      <w:lang w:val="sq-AL"/>
    </w:rPr>
  </w:style>
  <w:style w:type="paragraph" w:styleId="ListParagraph">
    <w:name w:val="List Paragraph"/>
    <w:basedOn w:val="Normal"/>
    <w:uiPriority w:val="34"/>
    <w:qFormat/>
    <w:rsid w:val="00FB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79"/>
    <w:rPr>
      <w:rFonts w:ascii="Tahoma" w:eastAsia="Times New Roman" w:hAnsi="Tahoma" w:cs="Tahoma"/>
      <w:b w:val="0"/>
      <w:smallCaps w:val="0"/>
      <w:sz w:val="16"/>
      <w:szCs w:val="16"/>
      <w:vertAlign w:val="baseline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b/>
        <w:smallCaps/>
        <w:sz w:val="56"/>
        <w:szCs w:val="56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2B"/>
    <w:pPr>
      <w:spacing w:after="0" w:line="240" w:lineRule="auto"/>
    </w:pPr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Heading1">
    <w:name w:val="heading 1"/>
    <w:basedOn w:val="Normal"/>
    <w:next w:val="Normal"/>
    <w:link w:val="Heading1Char"/>
    <w:qFormat/>
    <w:rsid w:val="00F6632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32B"/>
    <w:pPr>
      <w:keepNext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63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63B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63B"/>
    <w:pPr>
      <w:keepNext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BBB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1EB2"/>
    <w:pPr>
      <w:keepNext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2B"/>
    <w:rPr>
      <w:rFonts w:ascii="Times New Roman" w:eastAsia="Times New Roman" w:hAnsi="Times New Roman"/>
      <w:bCs/>
      <w:smallCaps w:val="0"/>
      <w:sz w:val="36"/>
      <w:szCs w:val="24"/>
      <w:vertAlign w:val="baseline"/>
      <w:lang w:val="sq-AL"/>
    </w:rPr>
  </w:style>
  <w:style w:type="paragraph" w:styleId="BodyTextIndent">
    <w:name w:val="Body Text Indent"/>
    <w:basedOn w:val="Normal"/>
    <w:link w:val="BodyTextIndentChar"/>
    <w:rsid w:val="00F6632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6632B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BodyText2">
    <w:name w:val="Body Text 2"/>
    <w:basedOn w:val="Normal"/>
    <w:link w:val="BodyText2Char"/>
    <w:rsid w:val="00F6632B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F6632B"/>
    <w:rPr>
      <w:rFonts w:ascii="Times New Roman" w:eastAsia="Times New Roman" w:hAnsi="Times New Roman"/>
      <w:b w:val="0"/>
      <w:i/>
      <w:iCs/>
      <w:smallCaps w:val="0"/>
      <w:sz w:val="24"/>
      <w:szCs w:val="24"/>
      <w:vertAlign w:val="baseline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6632B"/>
    <w:rPr>
      <w:rFonts w:ascii="Times New Roman" w:eastAsia="Times New Roman" w:hAnsi="Times New Roman"/>
      <w:bCs/>
      <w:smallCaps w:val="0"/>
      <w:sz w:val="24"/>
      <w:szCs w:val="24"/>
      <w:vertAlign w:val="baseline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u w:val="single"/>
      <w:vertAlign w:val="baseline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vertAlign w:val="baseline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5063B"/>
    <w:rPr>
      <w:rFonts w:ascii="Times New Roman" w:eastAsia="Times New Roman" w:hAnsi="Times New Roman"/>
      <w:bCs/>
      <w:smallCaps w:val="0"/>
      <w:color w:val="000000"/>
      <w:sz w:val="24"/>
      <w:szCs w:val="24"/>
      <w:vertAlign w:val="baseline"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84777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47775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0A7BBB"/>
    <w:rPr>
      <w:rFonts w:ascii="Times New Roman" w:eastAsia="Times New Roman" w:hAnsi="Times New Roman"/>
      <w:b w:val="0"/>
      <w:i/>
      <w:smallCaps w:val="0"/>
      <w:sz w:val="24"/>
      <w:szCs w:val="24"/>
      <w:vertAlign w:val="baseline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371EB2"/>
    <w:rPr>
      <w:rFonts w:ascii="Times New Roman" w:eastAsia="Times New Roman" w:hAnsi="Times New Roman"/>
      <w:bCs/>
      <w:smallCaps w:val="0"/>
      <w:color w:val="FF0000"/>
      <w:sz w:val="24"/>
      <w:szCs w:val="24"/>
      <w:vertAlign w:val="baseline"/>
      <w:lang w:val="sq-AL"/>
    </w:rPr>
  </w:style>
  <w:style w:type="paragraph" w:styleId="ListParagraph">
    <w:name w:val="List Paragraph"/>
    <w:basedOn w:val="Normal"/>
    <w:uiPriority w:val="34"/>
    <w:qFormat/>
    <w:rsid w:val="00FB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79"/>
    <w:rPr>
      <w:rFonts w:ascii="Tahoma" w:eastAsia="Times New Roman" w:hAnsi="Tahoma" w:cs="Tahoma"/>
      <w:b w:val="0"/>
      <w:smallCaps w:val="0"/>
      <w:sz w:val="16"/>
      <w:szCs w:val="16"/>
      <w:vertAlign w:val="baseline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17F4-0C61-4C95-8CB4-7B893F1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Agroni</dc:creator>
  <cp:lastModifiedBy>Artan</cp:lastModifiedBy>
  <cp:revision>2</cp:revision>
  <cp:lastPrinted>2018-12-12T01:45:00Z</cp:lastPrinted>
  <dcterms:created xsi:type="dcterms:W3CDTF">2018-12-11T14:36:00Z</dcterms:created>
  <dcterms:modified xsi:type="dcterms:W3CDTF">2018-12-11T14:36:00Z</dcterms:modified>
</cp:coreProperties>
</file>