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1200"/>
        <w:tblW w:w="1014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90"/>
        <w:gridCol w:w="1410"/>
      </w:tblGrid>
      <w:tr w:rsidR="001F7B73" w:rsidTr="003B5025">
        <w:trPr>
          <w:trHeight w:val="189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7B73" w:rsidRDefault="001F7B73" w:rsidP="003B5025">
            <w:pPr>
              <w:rPr>
                <w:b/>
                <w:lang w:val="sq-AL"/>
              </w:rPr>
            </w:pPr>
            <w:r>
              <w:rPr>
                <w:b/>
                <w:noProof/>
              </w:rPr>
              <w:drawing>
                <wp:inline distT="0" distB="0" distL="0" distR="0" wp14:anchorId="54FDF272" wp14:editId="2D4AD608">
                  <wp:extent cx="629920" cy="802005"/>
                  <wp:effectExtent l="0" t="0" r="0" b="0"/>
                  <wp:docPr id="1" name="Picture 1" descr="Description: Description: 85px-Coat_of_arms_of_Kosovo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85px-Coat_of_arms_of_Kosovo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B73" w:rsidRDefault="001F7B73" w:rsidP="003B5025">
            <w:pPr>
              <w:rPr>
                <w:lang w:val="sq-AL"/>
              </w:rPr>
            </w:pPr>
            <w:r>
              <w:rPr>
                <w:lang w:val="sq-AL"/>
              </w:rPr>
              <w:t xml:space="preserve">      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7B73" w:rsidRDefault="001F7B73" w:rsidP="003B5025">
            <w:r>
              <w:t xml:space="preserve">                             R E P U B L I K A     E    K O S O V Ë S</w:t>
            </w:r>
          </w:p>
          <w:p w:rsidR="001F7B73" w:rsidRDefault="001F7B73" w:rsidP="003B5025">
            <w:r>
              <w:t xml:space="preserve">                               R E P U B L I C    OF    K O S O V O</w:t>
            </w:r>
          </w:p>
          <w:p w:rsidR="001F7B73" w:rsidRDefault="001F7B73" w:rsidP="003B5025">
            <w:pPr>
              <w:rPr>
                <w:b/>
              </w:rPr>
            </w:pPr>
            <w:r>
              <w:rPr>
                <w:b/>
              </w:rPr>
              <w:t xml:space="preserve">                                R E P U B L I K A    K O S O V A</w:t>
            </w:r>
          </w:p>
          <w:p w:rsidR="001F7B73" w:rsidRDefault="001F7B73" w:rsidP="003B5025">
            <w:pPr>
              <w:rPr>
                <w:b/>
                <w:bCs/>
                <w:lang w:val="sq-AL"/>
              </w:rPr>
            </w:pPr>
            <w:r>
              <w:rPr>
                <w:b/>
                <w:bCs/>
              </w:rPr>
              <w:t>KOMUNA E PEJËS / MUNICIPALITY OF PEJA / OPŠTINA   PEĆ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7B73" w:rsidRDefault="001F7B73" w:rsidP="003B5025">
            <w:pPr>
              <w:rPr>
                <w:lang w:val="sq-AL"/>
              </w:rPr>
            </w:pPr>
            <w:r>
              <w:rPr>
                <w:noProof/>
              </w:rPr>
              <w:drawing>
                <wp:inline distT="0" distB="0" distL="0" distR="0" wp14:anchorId="2B01C9D9" wp14:editId="7EA9549B">
                  <wp:extent cx="621030" cy="802005"/>
                  <wp:effectExtent l="0" t="0" r="7620" b="0"/>
                  <wp:docPr id="2" name="Picture 2" descr="Description: Description: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7B73" w:rsidRDefault="001F7B73" w:rsidP="001F7B73">
      <w:pPr>
        <w:rPr>
          <w:b/>
          <w:sz w:val="24"/>
          <w:szCs w:val="24"/>
          <w:u w:val="single"/>
        </w:rPr>
      </w:pPr>
    </w:p>
    <w:p w:rsidR="001F7B73" w:rsidRDefault="001F7B73" w:rsidP="001F7B73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Nr</w:t>
      </w:r>
      <w:proofErr w:type="spellEnd"/>
      <w:r>
        <w:rPr>
          <w:b/>
          <w:sz w:val="24"/>
          <w:szCs w:val="24"/>
          <w:u w:val="single"/>
        </w:rPr>
        <w:t xml:space="preserve">. </w:t>
      </w:r>
      <w:r w:rsidR="00651EAD">
        <w:rPr>
          <w:b/>
          <w:sz w:val="24"/>
          <w:szCs w:val="24"/>
          <w:u w:val="single"/>
        </w:rPr>
        <w:t>359/21</w:t>
      </w:r>
      <w:bookmarkStart w:id="0" w:name="_GoBack"/>
      <w:bookmarkEnd w:id="0"/>
    </w:p>
    <w:p w:rsidR="001F7B73" w:rsidRDefault="001F7B73" w:rsidP="001F7B73">
      <w:pPr>
        <w:jc w:val="both"/>
        <w:rPr>
          <w:rFonts w:asciiTheme="minorHAnsi" w:hAnsiTheme="minorHAnsi" w:cstheme="minorBidi"/>
          <w:sz w:val="24"/>
          <w:szCs w:val="24"/>
        </w:rPr>
      </w:pP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bazë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Nenit</w:t>
      </w:r>
      <w:proofErr w:type="spellEnd"/>
      <w:r>
        <w:rPr>
          <w:sz w:val="24"/>
          <w:szCs w:val="24"/>
        </w:rPr>
        <w:t xml:space="preserve"> 8, </w:t>
      </w:r>
      <w:proofErr w:type="spellStart"/>
      <w:r>
        <w:rPr>
          <w:sz w:val="24"/>
          <w:szCs w:val="24"/>
        </w:rPr>
        <w:t>paragrafi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Ligjit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. 03/L-212 (</w:t>
      </w:r>
      <w:proofErr w:type="spellStart"/>
      <w:r>
        <w:rPr>
          <w:sz w:val="24"/>
          <w:szCs w:val="24"/>
        </w:rPr>
        <w:t>Gazeta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Zyrtare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Republikës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Kosovës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90/2010), </w:t>
      </w:r>
      <w:proofErr w:type="spellStart"/>
      <w:r>
        <w:rPr>
          <w:sz w:val="24"/>
          <w:szCs w:val="24"/>
        </w:rPr>
        <w:t>Nenit</w:t>
      </w:r>
      <w:proofErr w:type="spellEnd"/>
      <w:r>
        <w:rPr>
          <w:sz w:val="24"/>
          <w:szCs w:val="24"/>
        </w:rPr>
        <w:t xml:space="preserve"> 5, </w:t>
      </w:r>
      <w:proofErr w:type="spellStart"/>
      <w:r>
        <w:rPr>
          <w:sz w:val="24"/>
          <w:szCs w:val="24"/>
        </w:rPr>
        <w:t>pikës</w:t>
      </w:r>
      <w:proofErr w:type="spellEnd"/>
      <w:r>
        <w:rPr>
          <w:sz w:val="24"/>
          <w:szCs w:val="24"/>
        </w:rPr>
        <w:t xml:space="preserve"> c.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Ligjit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Arsimin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Komunat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Republikës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Kosovës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03/L-068, </w:t>
      </w:r>
      <w:proofErr w:type="spellStart"/>
      <w:r>
        <w:rPr>
          <w:sz w:val="24"/>
          <w:szCs w:val="24"/>
        </w:rPr>
        <w:t>Nenit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5,Ligjit </w:t>
      </w:r>
      <w:proofErr w:type="spellStart"/>
      <w:r>
        <w:rPr>
          <w:sz w:val="24"/>
          <w:szCs w:val="24"/>
        </w:rPr>
        <w:t>për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Arsimin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Parauniversitar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neni</w:t>
      </w:r>
      <w:proofErr w:type="spellEnd"/>
      <w:r>
        <w:rPr>
          <w:sz w:val="24"/>
          <w:szCs w:val="24"/>
        </w:rPr>
        <w:t xml:space="preserve"> 35 ,</w:t>
      </w:r>
      <w:proofErr w:type="spellStart"/>
      <w:r>
        <w:rPr>
          <w:sz w:val="24"/>
          <w:szCs w:val="24"/>
        </w:rPr>
        <w:t>Udhëzimit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Administrativ</w:t>
      </w:r>
      <w:proofErr w:type="spellEnd"/>
      <w:r>
        <w:rPr>
          <w:sz w:val="24"/>
          <w:szCs w:val="24"/>
        </w:rPr>
        <w:t xml:space="preserve"> Nr.07/2017 </w:t>
      </w:r>
      <w:proofErr w:type="spellStart"/>
      <w:r>
        <w:rPr>
          <w:sz w:val="24"/>
          <w:szCs w:val="24"/>
        </w:rPr>
        <w:t>për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rregullimin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Procedurave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Konkursit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Sektorin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Publik</w:t>
      </w:r>
      <w:proofErr w:type="spellEnd"/>
      <w:r>
        <w:rPr>
          <w:sz w:val="24"/>
          <w:szCs w:val="24"/>
        </w:rPr>
        <w:t xml:space="preserve"> ,  </w:t>
      </w:r>
      <w:proofErr w:type="spellStart"/>
      <w:r>
        <w:rPr>
          <w:rFonts w:asciiTheme="minorHAnsi" w:hAnsiTheme="minorHAnsi" w:cstheme="minorBidi"/>
          <w:sz w:val="24"/>
          <w:szCs w:val="24"/>
        </w:rPr>
        <w:t>Udhëzimit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Administrativ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10/2018 </w:t>
      </w:r>
      <w:proofErr w:type="spellStart"/>
      <w:r>
        <w:rPr>
          <w:rFonts w:asciiTheme="minorHAnsi" w:hAnsiTheme="minorHAnsi" w:cstheme="minorBidi"/>
          <w:sz w:val="24"/>
          <w:szCs w:val="24"/>
        </w:rPr>
        <w:t>Normativi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mbi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 </w:t>
      </w:r>
      <w:proofErr w:type="spellStart"/>
      <w:r>
        <w:rPr>
          <w:rFonts w:asciiTheme="minorHAnsi" w:hAnsiTheme="minorHAnsi" w:cstheme="minorBidi"/>
          <w:sz w:val="24"/>
          <w:szCs w:val="24"/>
        </w:rPr>
        <w:t>Kuadrin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Profesional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në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Arsimin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Bidi"/>
          <w:sz w:val="24"/>
          <w:szCs w:val="24"/>
        </w:rPr>
        <w:t>Përgjithshëm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, </w:t>
      </w:r>
      <w:proofErr w:type="spellStart"/>
      <w:r>
        <w:rPr>
          <w:rFonts w:asciiTheme="minorHAnsi" w:hAnsiTheme="minorHAnsi" w:cstheme="minorBidi"/>
          <w:sz w:val="24"/>
          <w:szCs w:val="24"/>
        </w:rPr>
        <w:t>Drejtoria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e </w:t>
      </w:r>
      <w:proofErr w:type="spellStart"/>
      <w:r>
        <w:rPr>
          <w:rFonts w:asciiTheme="minorHAnsi" w:hAnsiTheme="minorHAnsi" w:cstheme="minorBidi"/>
          <w:sz w:val="24"/>
          <w:szCs w:val="24"/>
        </w:rPr>
        <w:t>Arsimit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në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Pejë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shpallë</w:t>
      </w:r>
      <w:proofErr w:type="spellEnd"/>
      <w:r>
        <w:rPr>
          <w:rFonts w:asciiTheme="minorHAnsi" w:hAnsiTheme="minorHAnsi" w:cstheme="minorBidi"/>
          <w:sz w:val="24"/>
          <w:szCs w:val="24"/>
        </w:rPr>
        <w:t>:</w:t>
      </w:r>
    </w:p>
    <w:p w:rsidR="001F7B73" w:rsidRDefault="001F7B73" w:rsidP="001F7B73">
      <w:pPr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</w:t>
      </w:r>
      <w:r>
        <w:rPr>
          <w:b/>
          <w:sz w:val="28"/>
          <w:szCs w:val="28"/>
        </w:rPr>
        <w:t xml:space="preserve">                                                                KONKURS</w:t>
      </w:r>
    </w:p>
    <w:p w:rsidR="001F7B73" w:rsidRDefault="001F7B73" w:rsidP="001F7B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PËR PLOTËSIMIN E </w:t>
      </w:r>
      <w:proofErr w:type="gramStart"/>
      <w:r>
        <w:rPr>
          <w:b/>
          <w:sz w:val="24"/>
          <w:szCs w:val="24"/>
        </w:rPr>
        <w:t>VENDIT  TË</w:t>
      </w:r>
      <w:proofErr w:type="gramEnd"/>
      <w:r>
        <w:rPr>
          <w:b/>
          <w:sz w:val="24"/>
          <w:szCs w:val="24"/>
        </w:rPr>
        <w:t xml:space="preserve"> PUNËS</w:t>
      </w:r>
    </w:p>
    <w:p w:rsidR="001F7B73" w:rsidRDefault="001F7B73" w:rsidP="001F7B73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8" w:tblpY="28"/>
        <w:tblW w:w="10905" w:type="dxa"/>
        <w:tblLayout w:type="fixed"/>
        <w:tblLook w:val="04A0" w:firstRow="1" w:lastRow="0" w:firstColumn="1" w:lastColumn="0" w:noHBand="0" w:noVBand="1"/>
      </w:tblPr>
      <w:tblGrid>
        <w:gridCol w:w="2988"/>
        <w:gridCol w:w="2951"/>
        <w:gridCol w:w="2629"/>
        <w:gridCol w:w="2337"/>
      </w:tblGrid>
      <w:tr w:rsidR="001F7B73" w:rsidTr="001F7B73">
        <w:trPr>
          <w:trHeight w:val="33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73" w:rsidRDefault="001F7B73" w:rsidP="003B5025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Vendi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punёs</w:t>
            </w:r>
            <w:proofErr w:type="spellEnd"/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73" w:rsidRDefault="001F7B73" w:rsidP="003B50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b/>
                <w:sz w:val="24"/>
                <w:szCs w:val="24"/>
              </w:rPr>
              <w:t>Pozita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73" w:rsidRDefault="001F7B73" w:rsidP="003B5025">
            <w:pPr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Kohëzgjatja</w:t>
            </w:r>
            <w:proofErr w:type="spellEnd"/>
            <w:r>
              <w:rPr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b/>
                <w:sz w:val="24"/>
                <w:szCs w:val="24"/>
              </w:rPr>
              <w:t>Kontratës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73" w:rsidRDefault="001F7B73" w:rsidP="003B5025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Or</w:t>
            </w:r>
            <w:r>
              <w:rPr>
                <w:rFonts w:cs="Calibri"/>
                <w:b/>
                <w:sz w:val="24"/>
                <w:szCs w:val="24"/>
              </w:rPr>
              <w:t>ё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pune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</w:t>
            </w:r>
            <w:r>
              <w:rPr>
                <w:rFonts w:cs="Calibri"/>
                <w:b/>
                <w:sz w:val="24"/>
                <w:szCs w:val="24"/>
              </w:rPr>
              <w:t>ё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jav</w:t>
            </w:r>
            <w:r>
              <w:rPr>
                <w:rFonts w:cs="Calibri"/>
                <w:b/>
                <w:sz w:val="24"/>
                <w:szCs w:val="24"/>
              </w:rPr>
              <w:t>ё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F7B73" w:rsidTr="001F7B73">
        <w:trPr>
          <w:trHeight w:val="113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73" w:rsidRDefault="001F7B73" w:rsidP="001F7B73">
            <w:pPr>
              <w:pStyle w:val="ListParagraph"/>
              <w:numPr>
                <w:ilvl w:val="0"/>
                <w:numId w:val="4"/>
              </w:numPr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1F7B73">
              <w:rPr>
                <w:rFonts w:cs="Calibri"/>
                <w:b/>
                <w:sz w:val="24"/>
                <w:szCs w:val="24"/>
              </w:rPr>
              <w:t>ShMLT</w:t>
            </w:r>
            <w:proofErr w:type="spellEnd"/>
          </w:p>
          <w:p w:rsidR="001F7B73" w:rsidRPr="001F7B73" w:rsidRDefault="001F7B73" w:rsidP="001F7B73">
            <w:pPr>
              <w:pStyle w:val="ListParagraph"/>
              <w:rPr>
                <w:rFonts w:cs="Calibri"/>
                <w:b/>
                <w:sz w:val="24"/>
                <w:szCs w:val="24"/>
              </w:rPr>
            </w:pPr>
            <w:r w:rsidRPr="001F7B73">
              <w:rPr>
                <w:rFonts w:cs="Calibri"/>
                <w:b/>
                <w:sz w:val="24"/>
                <w:szCs w:val="24"/>
              </w:rPr>
              <w:t>”</w:t>
            </w:r>
            <w:proofErr w:type="spellStart"/>
            <w:r w:rsidRPr="001F7B73">
              <w:rPr>
                <w:rFonts w:cs="Calibri"/>
                <w:b/>
                <w:sz w:val="24"/>
                <w:szCs w:val="24"/>
              </w:rPr>
              <w:t>Shaban</w:t>
            </w:r>
            <w:proofErr w:type="spellEnd"/>
            <w:r w:rsidRPr="001F7B73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Pr="001F7B73">
              <w:rPr>
                <w:rFonts w:cs="Calibri"/>
                <w:b/>
                <w:sz w:val="24"/>
                <w:szCs w:val="24"/>
              </w:rPr>
              <w:t>Spahija</w:t>
            </w:r>
            <w:proofErr w:type="spellEnd"/>
            <w:r w:rsidRPr="001F7B73">
              <w:rPr>
                <w:rFonts w:cs="Calibri"/>
                <w:b/>
                <w:sz w:val="24"/>
                <w:szCs w:val="24"/>
              </w:rPr>
              <w:t>”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73" w:rsidRDefault="001F7B73" w:rsidP="001F7B7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Mësimdhënës</w:t>
            </w:r>
            <w:proofErr w:type="spellEnd"/>
            <w:r>
              <w:rPr>
                <w:b/>
                <w:sz w:val="24"/>
                <w:szCs w:val="24"/>
              </w:rPr>
              <w:t xml:space="preserve">/e </w:t>
            </w:r>
            <w:proofErr w:type="spellStart"/>
            <w:r>
              <w:rPr>
                <w:b/>
                <w:sz w:val="24"/>
                <w:szCs w:val="24"/>
              </w:rPr>
              <w:t>për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lëndën</w:t>
            </w:r>
            <w:proofErr w:type="spellEnd"/>
            <w:r>
              <w:rPr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b/>
                <w:sz w:val="24"/>
                <w:szCs w:val="24"/>
              </w:rPr>
              <w:t>Gjuhës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boshnjake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73" w:rsidRDefault="001F7B73" w:rsidP="003B50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Deri </w:t>
            </w:r>
            <w:proofErr w:type="spellStart"/>
            <w:r>
              <w:rPr>
                <w:b/>
                <w:sz w:val="24"/>
                <w:szCs w:val="24"/>
              </w:rPr>
              <w:t>më</w:t>
            </w:r>
            <w:proofErr w:type="spellEnd"/>
            <w:r>
              <w:rPr>
                <w:b/>
                <w:sz w:val="24"/>
                <w:szCs w:val="24"/>
              </w:rPr>
              <w:t xml:space="preserve"> 31.08.2021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73" w:rsidRDefault="001F7B73" w:rsidP="003B50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 </w:t>
            </w:r>
            <w:proofErr w:type="spellStart"/>
            <w:r>
              <w:rPr>
                <w:b/>
                <w:sz w:val="24"/>
                <w:szCs w:val="24"/>
              </w:rPr>
              <w:t>orë</w:t>
            </w:r>
            <w:proofErr w:type="spellEnd"/>
          </w:p>
        </w:tc>
      </w:tr>
    </w:tbl>
    <w:p w:rsidR="001F7B73" w:rsidRDefault="001F7B73" w:rsidP="001F7B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1F7B73" w:rsidRDefault="001F7B73" w:rsidP="001F7B73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I.</w:t>
      </w:r>
      <w:r>
        <w:rPr>
          <w:b/>
          <w:sz w:val="24"/>
          <w:szCs w:val="24"/>
        </w:rPr>
        <w:t>Aplikacionit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bashkëngjiten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këto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dokumente</w:t>
      </w:r>
      <w:proofErr w:type="spellEnd"/>
      <w:r>
        <w:rPr>
          <w:b/>
          <w:sz w:val="24"/>
          <w:szCs w:val="24"/>
        </w:rPr>
        <w:t>:</w:t>
      </w:r>
    </w:p>
    <w:p w:rsidR="001F7B73" w:rsidRDefault="001F7B73" w:rsidP="001F7B73">
      <w:pPr>
        <w:rPr>
          <w:sz w:val="24"/>
          <w:szCs w:val="24"/>
        </w:rPr>
      </w:pPr>
      <w:r>
        <w:rPr>
          <w:b/>
          <w:sz w:val="24"/>
          <w:szCs w:val="24"/>
        </w:rPr>
        <w:sym w:font="Symbol" w:char="F0B7"/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Formulari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aplikimit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merret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Drejtorinë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Arsimit</w:t>
      </w:r>
      <w:proofErr w:type="spellEnd"/>
      <w:r>
        <w:rPr>
          <w:sz w:val="24"/>
          <w:szCs w:val="24"/>
        </w:rPr>
        <w:t>)</w:t>
      </w:r>
    </w:p>
    <w:p w:rsidR="001F7B73" w:rsidRDefault="001F7B73" w:rsidP="001F7B73">
      <w:pPr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Dokumenti</w:t>
      </w:r>
      <w:proofErr w:type="spellEnd"/>
      <w:r>
        <w:rPr>
          <w:sz w:val="24"/>
          <w:szCs w:val="24"/>
        </w:rPr>
        <w:t xml:space="preserve"> personal (</w:t>
      </w:r>
      <w:proofErr w:type="spellStart"/>
      <w:r>
        <w:rPr>
          <w:sz w:val="24"/>
          <w:szCs w:val="24"/>
        </w:rPr>
        <w:t>letërnjoftim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pasaportë</w:t>
      </w:r>
      <w:proofErr w:type="spellEnd"/>
      <w:r>
        <w:rPr>
          <w:sz w:val="24"/>
          <w:szCs w:val="24"/>
        </w:rPr>
        <w:t>).</w:t>
      </w:r>
      <w:proofErr w:type="gramEnd"/>
    </w:p>
    <w:p w:rsidR="001F7B73" w:rsidRDefault="001F7B73" w:rsidP="001F7B73">
      <w:pPr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Ç</w:t>
      </w:r>
      <w:r>
        <w:rPr>
          <w:sz w:val="24"/>
          <w:szCs w:val="24"/>
        </w:rPr>
        <w:t>ertifikata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lindjes</w:t>
      </w:r>
      <w:proofErr w:type="spellEnd"/>
    </w:p>
    <w:p w:rsidR="001F7B73" w:rsidRDefault="001F7B73" w:rsidP="001F7B73">
      <w:pPr>
        <w:rPr>
          <w:b/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Diplomat e </w:t>
      </w:r>
      <w:proofErr w:type="spellStart"/>
      <w:r>
        <w:rPr>
          <w:sz w:val="24"/>
          <w:szCs w:val="24"/>
        </w:rPr>
        <w:t>kualifikimit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certifikatat</w:t>
      </w:r>
      <w:proofErr w:type="spellEnd"/>
      <w:r>
        <w:rPr>
          <w:sz w:val="24"/>
          <w:szCs w:val="24"/>
        </w:rPr>
        <w:t>),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certifikatat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në</w:t>
      </w:r>
      <w:proofErr w:type="spellEnd"/>
      <w:r>
        <w:rPr>
          <w:b/>
          <w:sz w:val="24"/>
          <w:szCs w:val="24"/>
        </w:rPr>
        <w:t xml:space="preserve"> vend </w:t>
      </w:r>
      <w:proofErr w:type="spellStart"/>
      <w:r>
        <w:rPr>
          <w:b/>
          <w:sz w:val="24"/>
          <w:szCs w:val="24"/>
        </w:rPr>
        <w:t>të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diplomës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duhet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jenë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noterizuara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noteri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dhe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jo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vjetra</w:t>
      </w:r>
      <w:proofErr w:type="spellEnd"/>
      <w:r>
        <w:rPr>
          <w:b/>
          <w:sz w:val="24"/>
          <w:szCs w:val="24"/>
        </w:rPr>
        <w:t xml:space="preserve"> se </w:t>
      </w:r>
      <w:proofErr w:type="spellStart"/>
      <w:r>
        <w:rPr>
          <w:b/>
          <w:sz w:val="24"/>
          <w:szCs w:val="24"/>
        </w:rPr>
        <w:t>gjashtë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muaj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Çdo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certifikatë</w:t>
      </w:r>
      <w:proofErr w:type="spell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diplomës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më</w:t>
      </w:r>
      <w:proofErr w:type="spell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vjetër</w:t>
      </w:r>
      <w:proofErr w:type="spellEnd"/>
      <w:r>
        <w:rPr>
          <w:b/>
          <w:sz w:val="24"/>
          <w:szCs w:val="24"/>
        </w:rPr>
        <w:t xml:space="preserve"> se </w:t>
      </w:r>
      <w:proofErr w:type="spellStart"/>
      <w:r>
        <w:rPr>
          <w:b/>
          <w:sz w:val="24"/>
          <w:szCs w:val="24"/>
        </w:rPr>
        <w:t>gjashtë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muaj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nga</w:t>
      </w:r>
      <w:proofErr w:type="spellEnd"/>
      <w:r>
        <w:rPr>
          <w:b/>
          <w:sz w:val="24"/>
          <w:szCs w:val="24"/>
        </w:rPr>
        <w:t xml:space="preserve"> data e </w:t>
      </w:r>
      <w:proofErr w:type="spellStart"/>
      <w:r>
        <w:rPr>
          <w:b/>
          <w:sz w:val="24"/>
          <w:szCs w:val="24"/>
        </w:rPr>
        <w:t>diplomimit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nuk</w:t>
      </w:r>
      <w:proofErr w:type="spellEnd"/>
      <w:r>
        <w:rPr>
          <w:b/>
          <w:sz w:val="24"/>
          <w:szCs w:val="24"/>
        </w:rPr>
        <w:t xml:space="preserve"> do </w:t>
      </w:r>
      <w:proofErr w:type="spellStart"/>
      <w:r>
        <w:rPr>
          <w:b/>
          <w:sz w:val="24"/>
          <w:szCs w:val="24"/>
        </w:rPr>
        <w:t>të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merret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parasysh</w:t>
      </w:r>
      <w:proofErr w:type="spellEnd"/>
      <w:r>
        <w:rPr>
          <w:b/>
          <w:sz w:val="24"/>
          <w:szCs w:val="24"/>
        </w:rPr>
        <w:t>.</w:t>
      </w:r>
    </w:p>
    <w:p w:rsidR="001F7B73" w:rsidRDefault="001F7B73" w:rsidP="001F7B73">
      <w:pPr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Ç</w:t>
      </w:r>
      <w:r>
        <w:rPr>
          <w:sz w:val="24"/>
          <w:szCs w:val="24"/>
        </w:rPr>
        <w:t>ertifikata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hetime</w:t>
      </w:r>
      <w:proofErr w:type="spellEnd"/>
      <w:r>
        <w:rPr>
          <w:sz w:val="24"/>
          <w:szCs w:val="24"/>
        </w:rPr>
        <w:t>.</w:t>
      </w:r>
      <w:proofErr w:type="gramEnd"/>
    </w:p>
    <w:p w:rsidR="001F7B73" w:rsidRDefault="001F7B73" w:rsidP="001F7B73">
      <w:pPr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Dëshmi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përvojës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institucione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arsimore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nëse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>).</w:t>
      </w:r>
      <w:proofErr w:type="gramEnd"/>
    </w:p>
    <w:p w:rsidR="001F7B73" w:rsidRDefault="001F7B73" w:rsidP="001F7B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proofErr w:type="spellStart"/>
      <w:r>
        <w:rPr>
          <w:b/>
          <w:sz w:val="24"/>
          <w:szCs w:val="24"/>
        </w:rPr>
        <w:t>Kushtet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kriteret</w:t>
      </w:r>
      <w:proofErr w:type="spell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përzgjedhjes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kandidatëve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stafit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mësimor</w:t>
      </w:r>
      <w:proofErr w:type="spellEnd"/>
    </w:p>
    <w:p w:rsidR="001F7B73" w:rsidRDefault="001F7B73" w:rsidP="001F7B7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Përzgjedhja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kandidatëve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bëhet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bazë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kritereve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përcaktuara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akte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juridike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që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rregullojnë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fushën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arsimit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parauniversitar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Ligji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04/L-032 </w:t>
      </w:r>
      <w:proofErr w:type="spellStart"/>
      <w:proofErr w:type="gram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03/L-068)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përputhje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Udhëzimin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Administrativ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përkatës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MASHT-it (UA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10/2018)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procedurave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përcaktuara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kornizën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ligjore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rregullimin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marrëdhënies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sektorin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publik</w:t>
      </w:r>
      <w:proofErr w:type="spellEnd"/>
      <w:r>
        <w:rPr>
          <w:sz w:val="24"/>
          <w:szCs w:val="24"/>
        </w:rPr>
        <w:t>.</w:t>
      </w:r>
    </w:p>
    <w:p w:rsidR="001F7B73" w:rsidRDefault="001F7B73" w:rsidP="001F7B7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Kriteret</w:t>
      </w:r>
      <w:proofErr w:type="spell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kualifikimit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për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këtë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pozitë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janë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1F7B73" w:rsidRPr="001F7B73" w:rsidRDefault="001F7B73" w:rsidP="001F7B73">
      <w:pPr>
        <w:pStyle w:val="ListParagraph"/>
        <w:ind w:left="630"/>
        <w:rPr>
          <w:sz w:val="24"/>
          <w:szCs w:val="24"/>
        </w:rPr>
      </w:pPr>
      <w:proofErr w:type="spellStart"/>
      <w:r w:rsidRPr="001F7B73">
        <w:rPr>
          <w:sz w:val="24"/>
          <w:szCs w:val="24"/>
        </w:rPr>
        <w:t>Gjuhë</w:t>
      </w:r>
      <w:proofErr w:type="spellEnd"/>
      <w:r w:rsidRPr="001F7B73">
        <w:rPr>
          <w:sz w:val="24"/>
          <w:szCs w:val="24"/>
        </w:rPr>
        <w:t xml:space="preserve"> </w:t>
      </w:r>
      <w:proofErr w:type="spellStart"/>
      <w:r w:rsidRPr="001F7B73">
        <w:rPr>
          <w:sz w:val="24"/>
          <w:szCs w:val="24"/>
        </w:rPr>
        <w:t>boshnjake</w:t>
      </w:r>
      <w:proofErr w:type="spellEnd"/>
      <w:r w:rsidRPr="001F7B73">
        <w:rPr>
          <w:sz w:val="24"/>
          <w:szCs w:val="24"/>
        </w:rPr>
        <w:t xml:space="preserve"> </w:t>
      </w:r>
    </w:p>
    <w:p w:rsidR="001F7B73" w:rsidRPr="001F7B73" w:rsidRDefault="001F7B73" w:rsidP="001F7B73">
      <w:pPr>
        <w:pStyle w:val="ListParagraph"/>
        <w:ind w:left="630"/>
        <w:rPr>
          <w:sz w:val="24"/>
          <w:szCs w:val="24"/>
        </w:rPr>
      </w:pPr>
      <w:r w:rsidRPr="001F7B73">
        <w:rPr>
          <w:sz w:val="24"/>
          <w:szCs w:val="24"/>
        </w:rPr>
        <w:t>-</w:t>
      </w:r>
      <w:proofErr w:type="spellStart"/>
      <w:r w:rsidRPr="001F7B73">
        <w:rPr>
          <w:sz w:val="24"/>
          <w:szCs w:val="24"/>
        </w:rPr>
        <w:t>Niveli</w:t>
      </w:r>
      <w:proofErr w:type="spellEnd"/>
      <w:r w:rsidRPr="001F7B73">
        <w:rPr>
          <w:sz w:val="24"/>
          <w:szCs w:val="24"/>
        </w:rPr>
        <w:t xml:space="preserve"> master </w:t>
      </w:r>
      <w:proofErr w:type="spellStart"/>
      <w:proofErr w:type="gramStart"/>
      <w:r w:rsidRPr="001F7B73">
        <w:rPr>
          <w:sz w:val="24"/>
          <w:szCs w:val="24"/>
        </w:rPr>
        <w:t>arsimor</w:t>
      </w:r>
      <w:proofErr w:type="spellEnd"/>
      <w:r w:rsidRPr="001F7B73">
        <w:rPr>
          <w:sz w:val="24"/>
          <w:szCs w:val="24"/>
        </w:rPr>
        <w:t xml:space="preserve">  -</w:t>
      </w:r>
      <w:proofErr w:type="spellStart"/>
      <w:proofErr w:type="gramEnd"/>
      <w:r w:rsidRPr="001F7B73">
        <w:rPr>
          <w:sz w:val="24"/>
          <w:szCs w:val="24"/>
        </w:rPr>
        <w:t>Fakulteti</w:t>
      </w:r>
      <w:proofErr w:type="spellEnd"/>
      <w:r w:rsidRPr="001F7B73">
        <w:rPr>
          <w:sz w:val="24"/>
          <w:szCs w:val="24"/>
        </w:rPr>
        <w:t xml:space="preserve"> </w:t>
      </w:r>
      <w:proofErr w:type="spellStart"/>
      <w:r w:rsidRPr="001F7B73">
        <w:rPr>
          <w:sz w:val="24"/>
          <w:szCs w:val="24"/>
        </w:rPr>
        <w:t>Edukimit</w:t>
      </w:r>
      <w:proofErr w:type="spellEnd"/>
      <w:r w:rsidRPr="001F7B73">
        <w:rPr>
          <w:sz w:val="24"/>
          <w:szCs w:val="24"/>
        </w:rPr>
        <w:t xml:space="preserve"> (300 ECTS )</w:t>
      </w:r>
    </w:p>
    <w:p w:rsidR="001F7B73" w:rsidRPr="001F7B73" w:rsidRDefault="001F7B73" w:rsidP="001F7B73">
      <w:pPr>
        <w:pStyle w:val="ListParagraph"/>
        <w:ind w:left="630"/>
        <w:rPr>
          <w:sz w:val="24"/>
          <w:szCs w:val="24"/>
        </w:rPr>
      </w:pPr>
      <w:r w:rsidRPr="001F7B73">
        <w:rPr>
          <w:sz w:val="24"/>
          <w:szCs w:val="24"/>
        </w:rPr>
        <w:t>-</w:t>
      </w:r>
      <w:proofErr w:type="spellStart"/>
      <w:r w:rsidRPr="001F7B73">
        <w:rPr>
          <w:sz w:val="24"/>
          <w:szCs w:val="24"/>
        </w:rPr>
        <w:t>Sistemi</w:t>
      </w:r>
      <w:proofErr w:type="spellEnd"/>
      <w:r w:rsidRPr="001F7B73">
        <w:rPr>
          <w:sz w:val="24"/>
          <w:szCs w:val="24"/>
        </w:rPr>
        <w:t xml:space="preserve"> </w:t>
      </w:r>
      <w:proofErr w:type="spellStart"/>
      <w:r w:rsidRPr="001F7B73">
        <w:rPr>
          <w:sz w:val="24"/>
          <w:szCs w:val="24"/>
        </w:rPr>
        <w:t>katërvjeçar</w:t>
      </w:r>
      <w:proofErr w:type="spellEnd"/>
    </w:p>
    <w:p w:rsidR="001F7B73" w:rsidRPr="001F7B73" w:rsidRDefault="001F7B73" w:rsidP="001F7B73">
      <w:pPr>
        <w:pStyle w:val="ListParagraph"/>
        <w:ind w:left="630"/>
        <w:rPr>
          <w:sz w:val="24"/>
          <w:szCs w:val="24"/>
        </w:rPr>
      </w:pPr>
      <w:r w:rsidRPr="001F7B73">
        <w:rPr>
          <w:sz w:val="24"/>
          <w:szCs w:val="24"/>
        </w:rPr>
        <w:t xml:space="preserve">-Bachelor </w:t>
      </w:r>
      <w:proofErr w:type="spellStart"/>
      <w:r w:rsidRPr="001F7B73">
        <w:rPr>
          <w:sz w:val="24"/>
          <w:szCs w:val="24"/>
        </w:rPr>
        <w:t>katërvjeçar</w:t>
      </w:r>
      <w:proofErr w:type="spellEnd"/>
      <w:r w:rsidRPr="001F7B73">
        <w:rPr>
          <w:sz w:val="24"/>
          <w:szCs w:val="24"/>
        </w:rPr>
        <w:t xml:space="preserve"> (240 ECTS)</w:t>
      </w:r>
    </w:p>
    <w:p w:rsidR="001F7B73" w:rsidRDefault="001F7B73" w:rsidP="001F7B73">
      <w:pPr>
        <w:rPr>
          <w:sz w:val="24"/>
          <w:szCs w:val="24"/>
        </w:rPr>
      </w:pPr>
      <w:r>
        <w:rPr>
          <w:sz w:val="24"/>
          <w:szCs w:val="24"/>
        </w:rPr>
        <w:t xml:space="preserve">Pas </w:t>
      </w:r>
      <w:proofErr w:type="spellStart"/>
      <w:r>
        <w:rPr>
          <w:sz w:val="24"/>
          <w:szCs w:val="24"/>
        </w:rPr>
        <w:t>plotësimit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dispozitave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ligjore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kritereve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konkursit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kandidatët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t’i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nënshtrohen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testimit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shkrim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testit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gojë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sipas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nenit</w:t>
      </w:r>
      <w:proofErr w:type="spellEnd"/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11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Udhëzimit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Administrativ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Nr.07/2017, </w:t>
      </w:r>
      <w:proofErr w:type="spellStart"/>
      <w:r>
        <w:rPr>
          <w:sz w:val="24"/>
          <w:szCs w:val="24"/>
        </w:rPr>
        <w:t>për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Rregullimin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Procedurave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Konkursit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Sektorin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Publik</w:t>
      </w:r>
      <w:proofErr w:type="spellEnd"/>
      <w:r>
        <w:rPr>
          <w:sz w:val="24"/>
          <w:szCs w:val="24"/>
        </w:rPr>
        <w:t>.</w:t>
      </w:r>
      <w:proofErr w:type="gramEnd"/>
    </w:p>
    <w:p w:rsidR="001F7B73" w:rsidRDefault="001F7B73" w:rsidP="001F7B73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Personat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diplomuar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jashtë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Kosovës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duhet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nostrifikuara</w:t>
      </w:r>
      <w:proofErr w:type="spellEnd"/>
      <w:r>
        <w:rPr>
          <w:sz w:val="24"/>
          <w:szCs w:val="24"/>
        </w:rPr>
        <w:t xml:space="preserve"> diplomat </w:t>
      </w:r>
      <w:proofErr w:type="spellStart"/>
      <w:r>
        <w:rPr>
          <w:sz w:val="24"/>
          <w:szCs w:val="24"/>
        </w:rPr>
        <w:t>nga</w:t>
      </w:r>
      <w:proofErr w:type="spellEnd"/>
      <w:r>
        <w:rPr>
          <w:sz w:val="24"/>
          <w:szCs w:val="24"/>
        </w:rPr>
        <w:t xml:space="preserve"> MASHT.</w:t>
      </w:r>
      <w:proofErr w:type="gramEnd"/>
    </w:p>
    <w:p w:rsidR="001F7B73" w:rsidRDefault="001F7B73" w:rsidP="001F7B73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gjitha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duhet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origjinale</w:t>
      </w:r>
      <w:proofErr w:type="spellEnd"/>
      <w:r>
        <w:rPr>
          <w:sz w:val="24"/>
          <w:szCs w:val="24"/>
        </w:rPr>
        <w:t>.</w:t>
      </w:r>
      <w:proofErr w:type="gramEnd"/>
    </w:p>
    <w:p w:rsidR="001F7B73" w:rsidRDefault="001F7B73" w:rsidP="001F7B7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Afati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mënyra</w:t>
      </w:r>
      <w:proofErr w:type="spell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aplikimit</w:t>
      </w:r>
      <w:proofErr w:type="spellEnd"/>
      <w:r>
        <w:rPr>
          <w:b/>
          <w:sz w:val="24"/>
          <w:szCs w:val="24"/>
        </w:rPr>
        <w:t>;</w:t>
      </w:r>
    </w:p>
    <w:p w:rsidR="001F7B73" w:rsidRDefault="001F7B73" w:rsidP="001F7B73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4"/>
          <w:szCs w:val="24"/>
        </w:rPr>
        <w:t>Konkursi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mbetet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hapur</w:t>
      </w:r>
      <w:proofErr w:type="spellEnd"/>
      <w:r>
        <w:rPr>
          <w:b/>
          <w:sz w:val="24"/>
          <w:szCs w:val="24"/>
        </w:rPr>
        <w:t xml:space="preserve"> 15 </w:t>
      </w:r>
      <w:proofErr w:type="spellStart"/>
      <w:r>
        <w:rPr>
          <w:b/>
          <w:sz w:val="24"/>
          <w:szCs w:val="24"/>
        </w:rPr>
        <w:t>ditë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nga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dita</w:t>
      </w:r>
      <w:proofErr w:type="spell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shpalljes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konkursit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në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mjetet</w:t>
      </w:r>
      <w:proofErr w:type="spell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informimit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publik</w:t>
      </w:r>
      <w:proofErr w:type="spellEnd"/>
      <w:r>
        <w:rPr>
          <w:b/>
          <w:sz w:val="24"/>
          <w:szCs w:val="24"/>
        </w:rPr>
        <w:t xml:space="preserve">, duke </w:t>
      </w:r>
      <w:proofErr w:type="spellStart"/>
      <w:r>
        <w:rPr>
          <w:b/>
          <w:sz w:val="24"/>
          <w:szCs w:val="24"/>
        </w:rPr>
        <w:t>filluar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nga</w:t>
      </w:r>
      <w:proofErr w:type="spellEnd"/>
      <w:r>
        <w:rPr>
          <w:b/>
          <w:sz w:val="24"/>
          <w:szCs w:val="24"/>
        </w:rPr>
        <w:t xml:space="preserve"> data e </w:t>
      </w:r>
      <w:proofErr w:type="spellStart"/>
      <w:r>
        <w:rPr>
          <w:b/>
          <w:sz w:val="24"/>
          <w:szCs w:val="24"/>
        </w:rPr>
        <w:t>publikimit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8"/>
          <w:szCs w:val="28"/>
        </w:rPr>
        <w:t>më</w:t>
      </w:r>
      <w:proofErr w:type="spellEnd"/>
      <w:r>
        <w:rPr>
          <w:b/>
          <w:sz w:val="28"/>
          <w:szCs w:val="28"/>
        </w:rPr>
        <w:t xml:space="preserve"> 15.03.</w:t>
      </w:r>
      <w:proofErr w:type="gramEnd"/>
      <w:r>
        <w:rPr>
          <w:b/>
          <w:sz w:val="28"/>
          <w:szCs w:val="28"/>
        </w:rPr>
        <w:t xml:space="preserve"> 2021 </w:t>
      </w:r>
      <w:proofErr w:type="spellStart"/>
      <w:r>
        <w:rPr>
          <w:b/>
          <w:sz w:val="28"/>
          <w:szCs w:val="28"/>
        </w:rPr>
        <w:t>deri</w:t>
      </w:r>
      <w:proofErr w:type="spellEnd"/>
      <w:r>
        <w:rPr>
          <w:b/>
          <w:sz w:val="28"/>
          <w:szCs w:val="28"/>
        </w:rPr>
        <w:t xml:space="preserve"> me 29.03.2021            </w:t>
      </w:r>
    </w:p>
    <w:p w:rsidR="001F7B73" w:rsidRDefault="001F7B73" w:rsidP="001F7B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Aplikacioni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kompletuar</w:t>
      </w:r>
      <w:proofErr w:type="spellEnd"/>
      <w:r>
        <w:rPr>
          <w:sz w:val="24"/>
          <w:szCs w:val="24"/>
        </w:rPr>
        <w:t xml:space="preserve"> (me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gjitha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dokumentet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kërkuara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duhet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dorëzohet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protokollit</w:t>
      </w:r>
      <w:proofErr w:type="gramStart"/>
      <w:r>
        <w:rPr>
          <w:sz w:val="24"/>
          <w:szCs w:val="24"/>
        </w:rPr>
        <w:t>,në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Drejtorinë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Arsimit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Komuna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Pejë</w:t>
      </w:r>
      <w:proofErr w:type="spellEnd"/>
      <w:r>
        <w:rPr>
          <w:sz w:val="24"/>
          <w:szCs w:val="24"/>
        </w:rPr>
        <w:t>.</w:t>
      </w:r>
    </w:p>
    <w:p w:rsidR="001F7B73" w:rsidRDefault="001F7B73" w:rsidP="001F7B73"/>
    <w:p w:rsidR="001F7B73" w:rsidRDefault="001F7B73" w:rsidP="001F7B73"/>
    <w:p w:rsidR="001F7B73" w:rsidRDefault="001F7B73" w:rsidP="001F7B73"/>
    <w:p w:rsidR="006D5E80" w:rsidRDefault="00651EAD"/>
    <w:sectPr w:rsidR="006D5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A65EA"/>
    <w:multiLevelType w:val="hybridMultilevel"/>
    <w:tmpl w:val="D8F4B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763D6"/>
    <w:multiLevelType w:val="hybridMultilevel"/>
    <w:tmpl w:val="349E1CD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93EEA"/>
    <w:multiLevelType w:val="hybridMultilevel"/>
    <w:tmpl w:val="BB8A2124"/>
    <w:lvl w:ilvl="0" w:tplc="62164EBA">
      <w:start w:val="13"/>
      <w:numFmt w:val="bullet"/>
      <w:lvlText w:val="-"/>
      <w:lvlJc w:val="left"/>
      <w:pPr>
        <w:ind w:left="990" w:hanging="360"/>
      </w:pPr>
      <w:rPr>
        <w:rFonts w:ascii="Calibri" w:eastAsia="MS Mincho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73030BB0"/>
    <w:multiLevelType w:val="hybridMultilevel"/>
    <w:tmpl w:val="112E9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73"/>
    <w:rsid w:val="001F7B73"/>
    <w:rsid w:val="00255F7C"/>
    <w:rsid w:val="00651EAD"/>
    <w:rsid w:val="006C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B73"/>
    <w:pPr>
      <w:spacing w:after="160" w:line="252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B73"/>
    <w:pPr>
      <w:ind w:left="720"/>
      <w:contextualSpacing/>
    </w:pPr>
  </w:style>
  <w:style w:type="table" w:styleId="TableGrid">
    <w:name w:val="Table Grid"/>
    <w:basedOn w:val="TableNormal"/>
    <w:uiPriority w:val="59"/>
    <w:rsid w:val="001F7B73"/>
    <w:pPr>
      <w:spacing w:after="0" w:line="240" w:lineRule="auto"/>
    </w:pPr>
    <w:rPr>
      <w:rFonts w:ascii="Calibri" w:eastAsia="MS Mincho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73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B73"/>
    <w:pPr>
      <w:spacing w:after="160" w:line="252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B73"/>
    <w:pPr>
      <w:ind w:left="720"/>
      <w:contextualSpacing/>
    </w:pPr>
  </w:style>
  <w:style w:type="table" w:styleId="TableGrid">
    <w:name w:val="Table Grid"/>
    <w:basedOn w:val="TableNormal"/>
    <w:uiPriority w:val="59"/>
    <w:rsid w:val="001F7B73"/>
    <w:pPr>
      <w:spacing w:after="0" w:line="240" w:lineRule="auto"/>
    </w:pPr>
    <w:rPr>
      <w:rFonts w:ascii="Calibri" w:eastAsia="MS Mincho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73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2021-03-15T09:52:00Z</dcterms:created>
  <dcterms:modified xsi:type="dcterms:W3CDTF">2021-03-15T10:05:00Z</dcterms:modified>
</cp:coreProperties>
</file>