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CE0B32" w14:textId="77777777" w:rsidR="00BC156F" w:rsidRPr="0050456B" w:rsidRDefault="00BC156F" w:rsidP="00732CA2">
      <w:pPr>
        <w:spacing w:after="0"/>
        <w:ind w:left="-630" w:firstLine="630"/>
        <w:rPr>
          <w:rFonts w:ascii="Times New Roman" w:hAnsi="Times New Roman" w:cs="Times New Roman"/>
          <w:sz w:val="32"/>
          <w:szCs w:val="32"/>
        </w:rPr>
      </w:pPr>
      <w:r>
        <w:rPr>
          <w:rFonts w:ascii="Times New Roman" w:hAnsi="Times New Roman" w:cs="Times New Roman"/>
          <w:noProof/>
          <w:sz w:val="32"/>
          <w:szCs w:val="32"/>
          <w:lang w:val="en-US"/>
        </w:rPr>
        <mc:AlternateContent>
          <mc:Choice Requires="wpg">
            <w:drawing>
              <wp:anchor distT="0" distB="0" distL="114300" distR="114300" simplePos="0" relativeHeight="251659264" behindDoc="0" locked="0" layoutInCell="1" allowOverlap="1" wp14:anchorId="123C0174" wp14:editId="6990C84A">
                <wp:simplePos x="0" y="0"/>
                <wp:positionH relativeFrom="column">
                  <wp:posOffset>598336</wp:posOffset>
                </wp:positionH>
                <wp:positionV relativeFrom="paragraph">
                  <wp:posOffset>1988</wp:posOffset>
                </wp:positionV>
                <wp:extent cx="7861465" cy="795391"/>
                <wp:effectExtent l="0" t="0" r="0" b="508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61465" cy="795391"/>
                          <a:chOff x="360" y="751"/>
                          <a:chExt cx="11385" cy="2097"/>
                        </a:xfrm>
                      </wpg:grpSpPr>
                      <wps:wsp>
                        <wps:cNvPr id="3" name="Text Box 3"/>
                        <wps:cNvSpPr txBox="1">
                          <a:spLocks noChangeArrowheads="1"/>
                        </wps:cNvSpPr>
                        <wps:spPr bwMode="auto">
                          <a:xfrm>
                            <a:off x="360" y="751"/>
                            <a:ext cx="1580" cy="20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C70C50" w14:textId="77777777" w:rsidR="00BC156F" w:rsidRPr="002D4054" w:rsidRDefault="00BC156F" w:rsidP="00BC156F">
                              <w:pPr>
                                <w:tabs>
                                  <w:tab w:val="left" w:pos="426"/>
                                </w:tabs>
                              </w:pPr>
                              <w:r>
                                <w:rPr>
                                  <w:noProof/>
                                  <w:lang w:val="en-US"/>
                                </w:rPr>
                                <w:drawing>
                                  <wp:inline distT="0" distB="0" distL="0" distR="0" wp14:anchorId="538466E5" wp14:editId="196C3463">
                                    <wp:extent cx="765810" cy="680720"/>
                                    <wp:effectExtent l="0" t="0" r="0" b="5080"/>
                                    <wp:docPr id="7" name="Picture 2" descr="ambl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blem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5810" cy="68072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4" name="Text Box 4"/>
                        <wps:cNvSpPr txBox="1">
                          <a:spLocks noChangeArrowheads="1"/>
                        </wps:cNvSpPr>
                        <wps:spPr bwMode="auto">
                          <a:xfrm>
                            <a:off x="10260" y="931"/>
                            <a:ext cx="1485" cy="1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28198" w14:textId="77777777" w:rsidR="00BC156F" w:rsidRPr="002D4054" w:rsidRDefault="00BC156F" w:rsidP="00BC156F">
                              <w:r>
                                <w:rPr>
                                  <w:noProof/>
                                  <w:lang w:val="en-US"/>
                                </w:rPr>
                                <w:drawing>
                                  <wp:inline distT="0" distB="0" distL="0" distR="0" wp14:anchorId="76F52C2F" wp14:editId="36ACED5A">
                                    <wp:extent cx="701675" cy="616585"/>
                                    <wp:effectExtent l="0" t="0" r="3175" b="0"/>
                                    <wp:docPr id="8"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1675" cy="61658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5" name="Text Box 5"/>
                        <wps:cNvSpPr txBox="1">
                          <a:spLocks noChangeArrowheads="1"/>
                        </wps:cNvSpPr>
                        <wps:spPr bwMode="auto">
                          <a:xfrm>
                            <a:off x="1850" y="998"/>
                            <a:ext cx="8820" cy="15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1A6D4A" w14:textId="77777777" w:rsidR="00BC156F" w:rsidRPr="00BA046B" w:rsidRDefault="00BC156F" w:rsidP="00BC156F">
                              <w:pPr>
                                <w:jc w:val="center"/>
                                <w:rPr>
                                  <w:b/>
                                  <w:sz w:val="24"/>
                                  <w:szCs w:val="24"/>
                                </w:rPr>
                              </w:pPr>
                              <w:r>
                                <w:rPr>
                                  <w:b/>
                                  <w:sz w:val="28"/>
                                  <w:szCs w:val="28"/>
                                </w:rPr>
                                <w:t xml:space="preserve">    </w:t>
                              </w:r>
                              <w:r w:rsidRPr="00BA046B">
                                <w:rPr>
                                  <w:b/>
                                  <w:sz w:val="24"/>
                                  <w:szCs w:val="24"/>
                                </w:rPr>
                                <w:t>Republika e Kosovës / Republika Kosovo / Republic Of Kosovo</w:t>
                              </w:r>
                            </w:p>
                            <w:p w14:paraId="47DF7052" w14:textId="77777777" w:rsidR="00BC156F" w:rsidRPr="00DB068E" w:rsidRDefault="00BC156F" w:rsidP="00BC156F">
                              <w:pPr>
                                <w:jc w:val="center"/>
                                <w:rPr>
                                  <w:b/>
                                  <w:sz w:val="24"/>
                                  <w:szCs w:val="24"/>
                                </w:rPr>
                              </w:pPr>
                              <w:r>
                                <w:rPr>
                                  <w:b/>
                                  <w:sz w:val="24"/>
                                  <w:szCs w:val="24"/>
                                </w:rPr>
                                <w:t>Komuna e Rahovecit</w:t>
                              </w:r>
                              <w:r w:rsidRPr="00BA046B">
                                <w:rPr>
                                  <w:b/>
                                  <w:sz w:val="24"/>
                                  <w:szCs w:val="24"/>
                                </w:rPr>
                                <w:t xml:space="preserve"> / </w:t>
                              </w:r>
                              <w:r>
                                <w:rPr>
                                  <w:b/>
                                  <w:sz w:val="24"/>
                                  <w:szCs w:val="24"/>
                                </w:rPr>
                                <w:t>Opština</w:t>
                              </w:r>
                              <w:r w:rsidRPr="00BA046B">
                                <w:rPr>
                                  <w:b/>
                                  <w:sz w:val="24"/>
                                  <w:szCs w:val="24"/>
                                </w:rPr>
                                <w:t xml:space="preserve"> Orahovac / Municipal</w:t>
                              </w:r>
                              <w:r w:rsidRPr="00DB068E">
                                <w:rPr>
                                  <w:b/>
                                  <w:sz w:val="24"/>
                                  <w:szCs w:val="24"/>
                                </w:rPr>
                                <w:t xml:space="preserve"> </w:t>
                              </w:r>
                              <w:r>
                                <w:rPr>
                                  <w:b/>
                                  <w:sz w:val="24"/>
                                  <w:szCs w:val="24"/>
                                </w:rPr>
                                <w:t>of</w:t>
                              </w:r>
                              <w:r w:rsidRPr="00DB068E">
                                <w:rPr>
                                  <w:b/>
                                  <w:sz w:val="24"/>
                                  <w:szCs w:val="24"/>
                                </w:rPr>
                                <w:t xml:space="preserve"> Rahovec</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3C0174" id="Group 2" o:spid="_x0000_s1026" style="position:absolute;left:0;text-align:left;margin-left:47.1pt;margin-top:.15pt;width:619pt;height:62.65pt;z-index:251659264" coordorigin="360,751" coordsize="11385,2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">
                <v:shapetype id="_x0000_t202" coordsize="21600,21600" o:spt="202" path="m,l,21600r21600,l21600,xe">
                  <v:stroke joinstyle="miter"/>
                  <v:path gradientshapeok="t" o:connecttype="rect"/>
                </v:shapetype>
                <v:shape id="Text Box 3" o:spid="_x0000_s1027" type="#_x0000_t202" style="position:absolute;left:360;top:751;width:1580;height:2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68C70C50" w14:textId="77777777" w:rsidR="00BC156F" w:rsidRPr="002D4054" w:rsidRDefault="00BC156F" w:rsidP="00BC156F">
                        <w:pPr>
                          <w:tabs>
                            <w:tab w:val="left" w:pos="426"/>
                          </w:tabs>
                        </w:pPr>
                        <w:r>
                          <w:rPr>
                            <w:noProof/>
                            <w:lang w:val="en-US"/>
                          </w:rPr>
                          <w:drawing>
                            <wp:inline distT="0" distB="0" distL="0" distR="0" wp14:anchorId="538466E5" wp14:editId="196C3463">
                              <wp:extent cx="765810" cy="680720"/>
                              <wp:effectExtent l="0" t="0" r="0" b="5080"/>
                              <wp:docPr id="7" name="Picture 2" descr="ambl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blem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5810" cy="680720"/>
                                      </a:xfrm>
                                      <a:prstGeom prst="rect">
                                        <a:avLst/>
                                      </a:prstGeom>
                                      <a:noFill/>
                                      <a:ln>
                                        <a:noFill/>
                                      </a:ln>
                                    </pic:spPr>
                                  </pic:pic>
                                </a:graphicData>
                              </a:graphic>
                            </wp:inline>
                          </w:drawing>
                        </w:r>
                      </w:p>
                    </w:txbxContent>
                  </v:textbox>
                </v:shape>
                <v:shape id="Text Box 4" o:spid="_x0000_s1028" type="#_x0000_t202" style="position:absolute;left:10260;top:931;width:1485;height:1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67228198" w14:textId="77777777" w:rsidR="00BC156F" w:rsidRPr="002D4054" w:rsidRDefault="00BC156F" w:rsidP="00BC156F">
                        <w:r>
                          <w:rPr>
                            <w:noProof/>
                            <w:lang w:val="en-US"/>
                          </w:rPr>
                          <w:drawing>
                            <wp:inline distT="0" distB="0" distL="0" distR="0" wp14:anchorId="76F52C2F" wp14:editId="36ACED5A">
                              <wp:extent cx="701675" cy="616585"/>
                              <wp:effectExtent l="0" t="0" r="3175" b="0"/>
                              <wp:docPr id="8"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1675" cy="616585"/>
                                      </a:xfrm>
                                      <a:prstGeom prst="rect">
                                        <a:avLst/>
                                      </a:prstGeom>
                                      <a:noFill/>
                                      <a:ln>
                                        <a:noFill/>
                                      </a:ln>
                                    </pic:spPr>
                                  </pic:pic>
                                </a:graphicData>
                              </a:graphic>
                            </wp:inline>
                          </w:drawing>
                        </w:r>
                      </w:p>
                    </w:txbxContent>
                  </v:textbox>
                </v:shape>
                <v:shape id="Text Box 5" o:spid="_x0000_s1029" type="#_x0000_t202" style="position:absolute;left:1850;top:998;width:8820;height:1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231A6D4A" w14:textId="77777777" w:rsidR="00BC156F" w:rsidRPr="00BA046B" w:rsidRDefault="00BC156F" w:rsidP="00BC156F">
                        <w:pPr>
                          <w:jc w:val="center"/>
                          <w:rPr>
                            <w:b/>
                            <w:sz w:val="24"/>
                            <w:szCs w:val="24"/>
                          </w:rPr>
                        </w:pPr>
                        <w:r>
                          <w:rPr>
                            <w:b/>
                            <w:sz w:val="28"/>
                            <w:szCs w:val="28"/>
                          </w:rPr>
                          <w:t xml:space="preserve">    </w:t>
                        </w:r>
                        <w:r w:rsidRPr="00BA046B">
                          <w:rPr>
                            <w:b/>
                            <w:sz w:val="24"/>
                            <w:szCs w:val="24"/>
                          </w:rPr>
                          <w:t>Republika e Kosovës / Republika Kosovo / Republic Of Kosovo</w:t>
                        </w:r>
                      </w:p>
                      <w:p w14:paraId="47DF7052" w14:textId="77777777" w:rsidR="00BC156F" w:rsidRPr="00DB068E" w:rsidRDefault="00BC156F" w:rsidP="00BC156F">
                        <w:pPr>
                          <w:jc w:val="center"/>
                          <w:rPr>
                            <w:b/>
                            <w:sz w:val="24"/>
                            <w:szCs w:val="24"/>
                          </w:rPr>
                        </w:pPr>
                        <w:r>
                          <w:rPr>
                            <w:b/>
                            <w:sz w:val="24"/>
                            <w:szCs w:val="24"/>
                          </w:rPr>
                          <w:t>Komuna e Rahovecit</w:t>
                        </w:r>
                        <w:r w:rsidRPr="00BA046B">
                          <w:rPr>
                            <w:b/>
                            <w:sz w:val="24"/>
                            <w:szCs w:val="24"/>
                          </w:rPr>
                          <w:t xml:space="preserve"> / </w:t>
                        </w:r>
                        <w:r>
                          <w:rPr>
                            <w:b/>
                            <w:sz w:val="24"/>
                            <w:szCs w:val="24"/>
                          </w:rPr>
                          <w:t>Opština</w:t>
                        </w:r>
                        <w:r w:rsidRPr="00BA046B">
                          <w:rPr>
                            <w:b/>
                            <w:sz w:val="24"/>
                            <w:szCs w:val="24"/>
                          </w:rPr>
                          <w:t xml:space="preserve"> Orahovac / Municipal</w:t>
                        </w:r>
                        <w:r w:rsidRPr="00DB068E">
                          <w:rPr>
                            <w:b/>
                            <w:sz w:val="24"/>
                            <w:szCs w:val="24"/>
                          </w:rPr>
                          <w:t xml:space="preserve"> </w:t>
                        </w:r>
                        <w:r>
                          <w:rPr>
                            <w:b/>
                            <w:sz w:val="24"/>
                            <w:szCs w:val="24"/>
                          </w:rPr>
                          <w:t>of</w:t>
                        </w:r>
                        <w:r w:rsidRPr="00DB068E">
                          <w:rPr>
                            <w:b/>
                            <w:sz w:val="24"/>
                            <w:szCs w:val="24"/>
                          </w:rPr>
                          <w:t xml:space="preserve"> Rahovec</w:t>
                        </w:r>
                      </w:p>
                    </w:txbxContent>
                  </v:textbox>
                </v:shape>
              </v:group>
            </w:pict>
          </mc:Fallback>
        </mc:AlternateContent>
      </w:r>
    </w:p>
    <w:p w14:paraId="32903F7A" w14:textId="77777777" w:rsidR="00BC156F" w:rsidRPr="0050456B" w:rsidRDefault="00BC156F" w:rsidP="00732CA2">
      <w:pPr>
        <w:spacing w:after="0"/>
        <w:jc w:val="center"/>
      </w:pPr>
    </w:p>
    <w:p w14:paraId="62DFFBA4" w14:textId="77777777" w:rsidR="00BC156F" w:rsidRDefault="00BC156F" w:rsidP="00732CA2">
      <w:pPr>
        <w:spacing w:after="0"/>
        <w:rPr>
          <w:rFonts w:ascii="Book Antiqua" w:hAnsi="Book Antiqua"/>
          <w:sz w:val="24"/>
          <w:szCs w:val="24"/>
        </w:rPr>
      </w:pPr>
    </w:p>
    <w:p w14:paraId="45C5B7FE" w14:textId="77777777" w:rsidR="00BC156F" w:rsidRDefault="00BC156F" w:rsidP="00732CA2">
      <w:pPr>
        <w:spacing w:after="0"/>
        <w:rPr>
          <w:rFonts w:ascii="Book Antiqua" w:hAnsi="Book Antiqua"/>
          <w:sz w:val="24"/>
          <w:szCs w:val="24"/>
        </w:rPr>
      </w:pPr>
      <w:r w:rsidRPr="004B57E7">
        <w:rPr>
          <w:rFonts w:ascii="Book Antiqua" w:hAnsi="Book Antiqua"/>
          <w:sz w:val="24"/>
          <w:szCs w:val="24"/>
        </w:rPr>
        <w:t>Për</w:t>
      </w:r>
      <w:r>
        <w:rPr>
          <w:rFonts w:ascii="Book Antiqua" w:hAnsi="Book Antiqua"/>
          <w:sz w:val="24"/>
          <w:szCs w:val="24"/>
        </w:rPr>
        <w:t xml:space="preserve">: </w:t>
      </w:r>
      <w:r w:rsidRPr="004B57E7">
        <w:rPr>
          <w:rFonts w:ascii="Book Antiqua" w:hAnsi="Book Antiqua"/>
          <w:sz w:val="24"/>
          <w:szCs w:val="24"/>
        </w:rPr>
        <w:t>Zyrën Kombëtare të Auditimit</w:t>
      </w:r>
      <w:r w:rsidRPr="00EF79AB">
        <w:rPr>
          <w:rFonts w:ascii="Book Antiqua" w:hAnsi="Book Antiqua"/>
          <w:sz w:val="24"/>
          <w:szCs w:val="24"/>
        </w:rPr>
        <w:t xml:space="preserve"> </w:t>
      </w:r>
      <w:r>
        <w:rPr>
          <w:rFonts w:ascii="Book Antiqua" w:hAnsi="Book Antiqua"/>
          <w:sz w:val="24"/>
          <w:szCs w:val="24"/>
        </w:rPr>
        <w:t xml:space="preserve">                                                                                      </w:t>
      </w:r>
      <w:r w:rsidRPr="004B57E7">
        <w:rPr>
          <w:rFonts w:ascii="Book Antiqua" w:hAnsi="Book Antiqua"/>
          <w:sz w:val="24"/>
          <w:szCs w:val="24"/>
        </w:rPr>
        <w:t>Nga</w:t>
      </w:r>
      <w:r>
        <w:rPr>
          <w:rFonts w:ascii="Book Antiqua" w:hAnsi="Book Antiqua"/>
          <w:sz w:val="24"/>
          <w:szCs w:val="24"/>
        </w:rPr>
        <w:t>:</w:t>
      </w:r>
      <w:r w:rsidRPr="004B57E7">
        <w:rPr>
          <w:rFonts w:ascii="Book Antiqua" w:hAnsi="Book Antiqua"/>
          <w:sz w:val="24"/>
          <w:szCs w:val="24"/>
        </w:rPr>
        <w:t xml:space="preserve"> z.</w:t>
      </w:r>
      <w:r>
        <w:rPr>
          <w:rFonts w:ascii="Book Antiqua" w:hAnsi="Book Antiqua"/>
          <w:sz w:val="24"/>
          <w:szCs w:val="24"/>
        </w:rPr>
        <w:t xml:space="preserve"> Smajl Latifi,</w:t>
      </w:r>
      <w:r w:rsidRPr="004B57E7">
        <w:rPr>
          <w:rFonts w:ascii="Book Antiqua" w:hAnsi="Book Antiqua"/>
          <w:sz w:val="24"/>
          <w:szCs w:val="24"/>
        </w:rPr>
        <w:t xml:space="preserve"> Kryetar </w:t>
      </w:r>
      <w:r>
        <w:rPr>
          <w:rFonts w:ascii="Book Antiqua" w:hAnsi="Book Antiqua"/>
          <w:sz w:val="24"/>
          <w:szCs w:val="24"/>
        </w:rPr>
        <w:t>i</w:t>
      </w:r>
      <w:r w:rsidRPr="004B57E7">
        <w:rPr>
          <w:rFonts w:ascii="Book Antiqua" w:hAnsi="Book Antiqua"/>
          <w:sz w:val="24"/>
          <w:szCs w:val="24"/>
        </w:rPr>
        <w:t xml:space="preserve"> Komunës</w:t>
      </w:r>
      <w:r>
        <w:rPr>
          <w:rFonts w:ascii="Book Antiqua" w:hAnsi="Book Antiqua"/>
          <w:sz w:val="24"/>
          <w:szCs w:val="24"/>
        </w:rPr>
        <w:t xml:space="preserve"> së Rahovecit</w:t>
      </w:r>
    </w:p>
    <w:p w14:paraId="4D3056F3" w14:textId="77777777" w:rsidR="00BC156F" w:rsidRPr="00912F16" w:rsidRDefault="00BC156F" w:rsidP="00732CA2">
      <w:pPr>
        <w:spacing w:after="0"/>
        <w:rPr>
          <w:rFonts w:ascii="Book Antiqua" w:hAnsi="Book Antiqua"/>
          <w:sz w:val="24"/>
          <w:szCs w:val="24"/>
        </w:rPr>
      </w:pPr>
      <w:r>
        <w:rPr>
          <w:rFonts w:ascii="Book Antiqua" w:hAnsi="Book Antiqua"/>
          <w:sz w:val="24"/>
          <w:szCs w:val="24"/>
        </w:rPr>
        <w:t xml:space="preserve">                                                                                                                                                    ______________________________________________                                                                 </w:t>
      </w:r>
    </w:p>
    <w:p w14:paraId="528493A6" w14:textId="77777777" w:rsidR="00BC156F" w:rsidRPr="0050456B" w:rsidRDefault="00BC156F" w:rsidP="00732CA2">
      <w:pPr>
        <w:spacing w:after="0" w:line="240" w:lineRule="auto"/>
        <w:jc w:val="center"/>
        <w:rPr>
          <w:rFonts w:ascii="Book Antiqua" w:hAnsi="Book Antiqua"/>
          <w:b/>
          <w:sz w:val="24"/>
          <w:szCs w:val="24"/>
        </w:rPr>
      </w:pPr>
      <w:r w:rsidRPr="0050456B">
        <w:rPr>
          <w:rFonts w:ascii="Book Antiqua" w:hAnsi="Book Antiqua"/>
          <w:b/>
          <w:sz w:val="24"/>
          <w:szCs w:val="24"/>
        </w:rPr>
        <w:t>PLANI I VEPRIMIT PËR ZBATIMIN E REKOMANDIMEVE</w:t>
      </w:r>
    </w:p>
    <w:p w14:paraId="43212C4F" w14:textId="1E42B28B" w:rsidR="00BC156F" w:rsidRPr="00196B1C" w:rsidRDefault="00BC156F" w:rsidP="00732CA2">
      <w:pPr>
        <w:spacing w:after="0" w:line="240" w:lineRule="auto"/>
        <w:rPr>
          <w:rFonts w:ascii="Book Antiqua" w:hAnsi="Book Antiqua"/>
          <w:sz w:val="24"/>
          <w:szCs w:val="24"/>
        </w:rPr>
      </w:pPr>
      <w:r>
        <w:rPr>
          <w:rFonts w:ascii="Book Antiqua" w:hAnsi="Book Antiqua"/>
          <w:b/>
          <w:sz w:val="24"/>
          <w:szCs w:val="24"/>
        </w:rPr>
        <w:t xml:space="preserve">                                                                  t</w:t>
      </w:r>
      <w:r w:rsidRPr="0050456B">
        <w:rPr>
          <w:rFonts w:ascii="Book Antiqua" w:hAnsi="Book Antiqua"/>
          <w:b/>
          <w:sz w:val="24"/>
          <w:szCs w:val="24"/>
        </w:rPr>
        <w:t xml:space="preserve">ë dhëna në Raportin </w:t>
      </w:r>
      <w:r>
        <w:rPr>
          <w:rFonts w:ascii="Book Antiqua" w:hAnsi="Book Antiqua"/>
          <w:b/>
          <w:sz w:val="24"/>
          <w:szCs w:val="24"/>
        </w:rPr>
        <w:t>e Auditimit</w:t>
      </w:r>
      <w:r w:rsidRPr="0050456B">
        <w:rPr>
          <w:rFonts w:ascii="Book Antiqua" w:hAnsi="Book Antiqua"/>
          <w:b/>
          <w:sz w:val="24"/>
          <w:szCs w:val="24"/>
        </w:rPr>
        <w:t xml:space="preserve"> nga Zyra Kombëtare e </w:t>
      </w:r>
      <w:proofErr w:type="spellStart"/>
      <w:r w:rsidRPr="0050456B">
        <w:rPr>
          <w:rFonts w:ascii="Book Antiqua" w:hAnsi="Book Antiqua"/>
          <w:b/>
          <w:sz w:val="24"/>
          <w:szCs w:val="24"/>
        </w:rPr>
        <w:t>Auditimit</w:t>
      </w:r>
      <w:proofErr w:type="spellEnd"/>
      <w:r>
        <w:rPr>
          <w:rFonts w:ascii="Book Antiqua" w:hAnsi="Book Antiqua"/>
          <w:sz w:val="24"/>
          <w:szCs w:val="24"/>
        </w:rPr>
        <w:t xml:space="preserve">  për vitin </w:t>
      </w:r>
      <w:r w:rsidR="00621720">
        <w:rPr>
          <w:rFonts w:ascii="Book Antiqua" w:hAnsi="Book Antiqua"/>
          <w:sz w:val="24"/>
          <w:szCs w:val="24"/>
        </w:rPr>
        <w:t>2023</w:t>
      </w:r>
    </w:p>
    <w:tbl>
      <w:tblPr>
        <w:tblStyle w:val="TableGrid"/>
        <w:tblpPr w:leftFromText="180" w:rightFromText="180" w:vertAnchor="text" w:horzAnchor="page" w:tblpXSpec="center" w:tblpY="361"/>
        <w:tblW w:w="15300" w:type="dxa"/>
        <w:jc w:val="center"/>
        <w:tblLayout w:type="fixed"/>
        <w:tblLook w:val="04A0" w:firstRow="1" w:lastRow="0" w:firstColumn="1" w:lastColumn="0" w:noHBand="0" w:noVBand="1"/>
      </w:tblPr>
      <w:tblGrid>
        <w:gridCol w:w="535"/>
        <w:gridCol w:w="1260"/>
        <w:gridCol w:w="6390"/>
        <w:gridCol w:w="2070"/>
        <w:gridCol w:w="2250"/>
        <w:gridCol w:w="1080"/>
        <w:gridCol w:w="810"/>
        <w:gridCol w:w="905"/>
      </w:tblGrid>
      <w:tr w:rsidR="00BC156F" w:rsidRPr="0050456B" w14:paraId="35B05397" w14:textId="77777777" w:rsidTr="007F36DB">
        <w:trPr>
          <w:trHeight w:val="82"/>
          <w:jc w:val="center"/>
        </w:trPr>
        <w:tc>
          <w:tcPr>
            <w:tcW w:w="535" w:type="dxa"/>
            <w:shd w:val="clear" w:color="auto" w:fill="B4C6E7" w:themeFill="accent1" w:themeFillTint="66"/>
            <w:vAlign w:val="center"/>
          </w:tcPr>
          <w:p w14:paraId="6AADA6D7" w14:textId="77777777" w:rsidR="00BC156F" w:rsidRPr="00912F16" w:rsidRDefault="00BC156F" w:rsidP="00732CA2">
            <w:pPr>
              <w:spacing w:after="0"/>
              <w:rPr>
                <w:b/>
                <w:sz w:val="20"/>
                <w:szCs w:val="20"/>
              </w:rPr>
            </w:pPr>
          </w:p>
          <w:p w14:paraId="22E685A3" w14:textId="77777777" w:rsidR="00BC156F" w:rsidRPr="00912F16" w:rsidRDefault="00BC156F" w:rsidP="00732CA2">
            <w:pPr>
              <w:spacing w:after="0"/>
              <w:jc w:val="center"/>
              <w:rPr>
                <w:b/>
                <w:sz w:val="20"/>
                <w:szCs w:val="20"/>
              </w:rPr>
            </w:pPr>
          </w:p>
          <w:p w14:paraId="00A1778A" w14:textId="77777777" w:rsidR="00BC156F" w:rsidRPr="00912F16" w:rsidRDefault="00BC156F" w:rsidP="00732CA2">
            <w:pPr>
              <w:spacing w:after="0"/>
              <w:jc w:val="center"/>
              <w:rPr>
                <w:b/>
                <w:sz w:val="20"/>
                <w:szCs w:val="20"/>
              </w:rPr>
            </w:pPr>
            <w:proofErr w:type="spellStart"/>
            <w:r>
              <w:rPr>
                <w:b/>
                <w:sz w:val="20"/>
                <w:szCs w:val="20"/>
              </w:rPr>
              <w:t>Nr</w:t>
            </w:r>
            <w:proofErr w:type="spellEnd"/>
          </w:p>
          <w:p w14:paraId="4D739AE2" w14:textId="77777777" w:rsidR="00BC156F" w:rsidRPr="00912F16" w:rsidRDefault="00BC156F" w:rsidP="00732CA2">
            <w:pPr>
              <w:spacing w:after="0"/>
              <w:jc w:val="center"/>
              <w:rPr>
                <w:b/>
                <w:sz w:val="20"/>
                <w:szCs w:val="20"/>
              </w:rPr>
            </w:pPr>
          </w:p>
          <w:p w14:paraId="6709C151" w14:textId="77777777" w:rsidR="00BC156F" w:rsidRPr="00912F16" w:rsidRDefault="00BC156F" w:rsidP="00732CA2">
            <w:pPr>
              <w:spacing w:after="0"/>
              <w:jc w:val="center"/>
              <w:rPr>
                <w:b/>
                <w:sz w:val="20"/>
                <w:szCs w:val="20"/>
              </w:rPr>
            </w:pPr>
          </w:p>
          <w:p w14:paraId="7C4A3755" w14:textId="77777777" w:rsidR="00BC156F" w:rsidRPr="00912F16" w:rsidRDefault="00BC156F" w:rsidP="00732CA2">
            <w:pPr>
              <w:spacing w:after="0"/>
              <w:jc w:val="center"/>
              <w:rPr>
                <w:b/>
                <w:sz w:val="20"/>
                <w:szCs w:val="20"/>
              </w:rPr>
            </w:pPr>
          </w:p>
        </w:tc>
        <w:tc>
          <w:tcPr>
            <w:tcW w:w="1260" w:type="dxa"/>
            <w:shd w:val="clear" w:color="auto" w:fill="B4C6E7" w:themeFill="accent1" w:themeFillTint="66"/>
            <w:vAlign w:val="center"/>
          </w:tcPr>
          <w:p w14:paraId="4639C232" w14:textId="77777777" w:rsidR="00BC156F" w:rsidRPr="00912F16" w:rsidRDefault="00BC156F" w:rsidP="00732CA2">
            <w:pPr>
              <w:spacing w:after="0"/>
              <w:jc w:val="center"/>
              <w:rPr>
                <w:b/>
                <w:sz w:val="20"/>
                <w:szCs w:val="20"/>
              </w:rPr>
            </w:pPr>
            <w:proofErr w:type="spellStart"/>
            <w:r w:rsidRPr="00912F16">
              <w:rPr>
                <w:b/>
                <w:sz w:val="20"/>
                <w:szCs w:val="20"/>
              </w:rPr>
              <w:t>Komponenta</w:t>
            </w:r>
            <w:proofErr w:type="spellEnd"/>
            <w:r w:rsidRPr="00912F16">
              <w:rPr>
                <w:b/>
                <w:sz w:val="20"/>
                <w:szCs w:val="20"/>
              </w:rPr>
              <w:t xml:space="preserve"> e </w:t>
            </w:r>
            <w:proofErr w:type="spellStart"/>
            <w:r w:rsidRPr="00912F16">
              <w:rPr>
                <w:b/>
                <w:sz w:val="20"/>
                <w:szCs w:val="20"/>
              </w:rPr>
              <w:t>auditimit</w:t>
            </w:r>
            <w:proofErr w:type="spellEnd"/>
            <w:r w:rsidRPr="00912F16">
              <w:rPr>
                <w:b/>
                <w:sz w:val="20"/>
                <w:szCs w:val="20"/>
              </w:rPr>
              <w:t xml:space="preserve"> (kapitulli)</w:t>
            </w:r>
          </w:p>
        </w:tc>
        <w:tc>
          <w:tcPr>
            <w:tcW w:w="6390" w:type="dxa"/>
            <w:shd w:val="clear" w:color="auto" w:fill="B4C6E7" w:themeFill="accent1" w:themeFillTint="66"/>
            <w:vAlign w:val="center"/>
          </w:tcPr>
          <w:p w14:paraId="30DBDDFE" w14:textId="77777777" w:rsidR="00BC156F" w:rsidRPr="00912F16" w:rsidRDefault="00BC156F" w:rsidP="00732CA2">
            <w:pPr>
              <w:spacing w:after="0"/>
              <w:jc w:val="center"/>
              <w:rPr>
                <w:b/>
                <w:sz w:val="20"/>
                <w:szCs w:val="20"/>
              </w:rPr>
            </w:pPr>
            <w:r w:rsidRPr="00912F16">
              <w:rPr>
                <w:b/>
                <w:sz w:val="20"/>
                <w:szCs w:val="20"/>
              </w:rPr>
              <w:t>Gjetja</w:t>
            </w:r>
          </w:p>
        </w:tc>
        <w:tc>
          <w:tcPr>
            <w:tcW w:w="2070" w:type="dxa"/>
            <w:shd w:val="clear" w:color="auto" w:fill="B4C6E7" w:themeFill="accent1" w:themeFillTint="66"/>
            <w:vAlign w:val="center"/>
          </w:tcPr>
          <w:p w14:paraId="7DE02D57" w14:textId="77777777" w:rsidR="00BC156F" w:rsidRPr="00912F16" w:rsidRDefault="00BC156F" w:rsidP="00732CA2">
            <w:pPr>
              <w:spacing w:after="0"/>
              <w:jc w:val="center"/>
              <w:rPr>
                <w:b/>
                <w:sz w:val="20"/>
                <w:szCs w:val="20"/>
              </w:rPr>
            </w:pPr>
            <w:r w:rsidRPr="00912F16">
              <w:rPr>
                <w:b/>
                <w:sz w:val="20"/>
                <w:szCs w:val="20"/>
              </w:rPr>
              <w:t>Rekomandimi</w:t>
            </w:r>
          </w:p>
        </w:tc>
        <w:tc>
          <w:tcPr>
            <w:tcW w:w="2250" w:type="dxa"/>
            <w:shd w:val="clear" w:color="auto" w:fill="B4C6E7" w:themeFill="accent1" w:themeFillTint="66"/>
            <w:vAlign w:val="center"/>
          </w:tcPr>
          <w:p w14:paraId="1C385B2B" w14:textId="77777777" w:rsidR="00BC156F" w:rsidRPr="00912F16" w:rsidRDefault="00BC156F" w:rsidP="00732CA2">
            <w:pPr>
              <w:spacing w:after="0"/>
              <w:jc w:val="center"/>
              <w:rPr>
                <w:b/>
                <w:sz w:val="20"/>
                <w:szCs w:val="20"/>
              </w:rPr>
            </w:pPr>
            <w:r w:rsidRPr="00912F16">
              <w:rPr>
                <w:b/>
                <w:sz w:val="20"/>
                <w:szCs w:val="20"/>
              </w:rPr>
              <w:t>Veprimet   e  planifikuara për tu ndërmarre</w:t>
            </w:r>
          </w:p>
        </w:tc>
        <w:tc>
          <w:tcPr>
            <w:tcW w:w="1080" w:type="dxa"/>
            <w:shd w:val="clear" w:color="auto" w:fill="B4C6E7" w:themeFill="accent1" w:themeFillTint="66"/>
            <w:vAlign w:val="center"/>
          </w:tcPr>
          <w:p w14:paraId="390E3E23" w14:textId="77777777" w:rsidR="00BC156F" w:rsidRPr="00912F16" w:rsidRDefault="00BC156F" w:rsidP="00732CA2">
            <w:pPr>
              <w:spacing w:after="0"/>
              <w:jc w:val="center"/>
              <w:rPr>
                <w:b/>
                <w:sz w:val="20"/>
                <w:szCs w:val="20"/>
              </w:rPr>
            </w:pPr>
            <w:r w:rsidRPr="00912F16">
              <w:rPr>
                <w:b/>
                <w:sz w:val="20"/>
                <w:szCs w:val="20"/>
              </w:rPr>
              <w:t>Zyrtar përgjegjës</w:t>
            </w:r>
          </w:p>
        </w:tc>
        <w:tc>
          <w:tcPr>
            <w:tcW w:w="810" w:type="dxa"/>
            <w:shd w:val="clear" w:color="auto" w:fill="B4C6E7" w:themeFill="accent1" w:themeFillTint="66"/>
            <w:vAlign w:val="center"/>
          </w:tcPr>
          <w:p w14:paraId="7272A36C" w14:textId="77777777" w:rsidR="00BC156F" w:rsidRPr="00912F16" w:rsidRDefault="00BC156F" w:rsidP="00732CA2">
            <w:pPr>
              <w:spacing w:after="0"/>
              <w:jc w:val="center"/>
              <w:rPr>
                <w:b/>
                <w:sz w:val="20"/>
                <w:szCs w:val="20"/>
              </w:rPr>
            </w:pPr>
            <w:r w:rsidRPr="00912F16">
              <w:rPr>
                <w:b/>
                <w:sz w:val="20"/>
                <w:szCs w:val="20"/>
              </w:rPr>
              <w:t>Data e planifikuara e zbatimit të rekomandimit</w:t>
            </w:r>
          </w:p>
        </w:tc>
        <w:tc>
          <w:tcPr>
            <w:tcW w:w="905" w:type="dxa"/>
            <w:shd w:val="clear" w:color="auto" w:fill="B4C6E7" w:themeFill="accent1" w:themeFillTint="66"/>
          </w:tcPr>
          <w:p w14:paraId="32F456DA" w14:textId="77777777" w:rsidR="00BC156F" w:rsidRDefault="00BC156F" w:rsidP="00732CA2">
            <w:pPr>
              <w:spacing w:after="0"/>
              <w:jc w:val="center"/>
              <w:rPr>
                <w:b/>
                <w:sz w:val="20"/>
                <w:szCs w:val="20"/>
              </w:rPr>
            </w:pPr>
          </w:p>
          <w:p w14:paraId="62B4C355" w14:textId="77777777" w:rsidR="00BC156F" w:rsidRDefault="00BC156F" w:rsidP="00732CA2">
            <w:pPr>
              <w:spacing w:after="0"/>
              <w:jc w:val="center"/>
              <w:rPr>
                <w:b/>
                <w:sz w:val="20"/>
                <w:szCs w:val="20"/>
              </w:rPr>
            </w:pPr>
          </w:p>
          <w:p w14:paraId="4BB6816C" w14:textId="77777777" w:rsidR="00BC156F" w:rsidRDefault="00BC156F" w:rsidP="00732CA2">
            <w:pPr>
              <w:spacing w:after="0"/>
              <w:jc w:val="center"/>
              <w:rPr>
                <w:b/>
                <w:sz w:val="20"/>
                <w:szCs w:val="20"/>
              </w:rPr>
            </w:pPr>
          </w:p>
          <w:p w14:paraId="338FFB81" w14:textId="77777777" w:rsidR="00BC156F" w:rsidRPr="00912F16" w:rsidRDefault="00BC156F" w:rsidP="00732CA2">
            <w:pPr>
              <w:spacing w:after="0"/>
              <w:jc w:val="center"/>
              <w:rPr>
                <w:b/>
                <w:sz w:val="20"/>
                <w:szCs w:val="20"/>
              </w:rPr>
            </w:pPr>
            <w:r w:rsidRPr="00912F16">
              <w:rPr>
                <w:b/>
                <w:sz w:val="20"/>
                <w:szCs w:val="20"/>
              </w:rPr>
              <w:t>Komente</w:t>
            </w:r>
          </w:p>
        </w:tc>
      </w:tr>
      <w:tr w:rsidR="00930B7C" w:rsidRPr="00912F16" w14:paraId="2A500D97" w14:textId="77777777" w:rsidTr="007F36DB">
        <w:trPr>
          <w:trHeight w:val="33"/>
          <w:jc w:val="center"/>
        </w:trPr>
        <w:tc>
          <w:tcPr>
            <w:tcW w:w="535" w:type="dxa"/>
          </w:tcPr>
          <w:p w14:paraId="5CB2A7E9" w14:textId="77777777" w:rsidR="00930B7C" w:rsidRPr="00242418" w:rsidRDefault="00930B7C" w:rsidP="00930B7C">
            <w:pPr>
              <w:spacing w:after="0"/>
              <w:rPr>
                <w:rFonts w:ascii="Book Antiqua" w:hAnsi="Book Antiqua"/>
                <w:b/>
                <w:sz w:val="24"/>
                <w:szCs w:val="24"/>
              </w:rPr>
            </w:pPr>
            <w:r w:rsidRPr="00242418">
              <w:rPr>
                <w:rFonts w:ascii="Book Antiqua" w:hAnsi="Book Antiqua"/>
                <w:b/>
                <w:sz w:val="24"/>
                <w:szCs w:val="24"/>
              </w:rPr>
              <w:t>1.</w:t>
            </w:r>
          </w:p>
        </w:tc>
        <w:tc>
          <w:tcPr>
            <w:tcW w:w="1260" w:type="dxa"/>
          </w:tcPr>
          <w:p w14:paraId="5B0783DC" w14:textId="0E60D157" w:rsidR="00930B7C" w:rsidRPr="00912F16" w:rsidRDefault="00CA4094" w:rsidP="00930B7C">
            <w:pPr>
              <w:spacing w:after="0"/>
              <w:jc w:val="center"/>
              <w:rPr>
                <w:rFonts w:ascii="Sylfaen" w:hAnsi="Sylfaen"/>
                <w:b/>
                <w:sz w:val="20"/>
                <w:szCs w:val="20"/>
              </w:rPr>
            </w:pPr>
            <w:r w:rsidRPr="00CA4094">
              <w:rPr>
                <w:rFonts w:ascii="Sylfaen" w:hAnsi="Sylfaen"/>
                <w:b/>
                <w:sz w:val="20"/>
                <w:szCs w:val="20"/>
              </w:rPr>
              <w:t xml:space="preserve">Çështja A1 - </w:t>
            </w:r>
            <w:r w:rsidRPr="00CA4094">
              <w:rPr>
                <w:rFonts w:ascii="Sylfaen" w:hAnsi="Sylfaen"/>
                <w:sz w:val="20"/>
                <w:szCs w:val="20"/>
              </w:rPr>
              <w:t>Keq klasifikimi i shpenzimeve</w:t>
            </w:r>
          </w:p>
        </w:tc>
        <w:tc>
          <w:tcPr>
            <w:tcW w:w="6390" w:type="dxa"/>
          </w:tcPr>
          <w:p w14:paraId="17580CEA" w14:textId="77777777" w:rsidR="00CA4094" w:rsidRPr="00CA4094" w:rsidRDefault="00CA4094" w:rsidP="00CA4094">
            <w:pPr>
              <w:spacing w:after="0"/>
              <w:jc w:val="both"/>
              <w:rPr>
                <w:rFonts w:cstheme="minorHAnsi"/>
              </w:rPr>
            </w:pPr>
            <w:r w:rsidRPr="00CA4094">
              <w:rPr>
                <w:rFonts w:cstheme="minorHAnsi"/>
              </w:rPr>
              <w:t>Rregulla financiare nr. 01/2013 për shpenzimet publike, neni 18 pika 3 specifikon se shpenzimet duhet të kenë kodet adekuate, të përcaktuara me Udhëzimin Administrativ për planin kontabël. Rrjedhimisht, neni 11 i UA 19/2009 për planin kontabël, kërkon nga ZKA dhe ZKF që të sigurojnë që të gjitha transaksionet janë regjistruar në SIMFK sipas strukturës së planit kontabël dhe klasifikimeve të përcaktuara me këtë UA.</w:t>
            </w:r>
          </w:p>
          <w:p w14:paraId="27F42415" w14:textId="77777777" w:rsidR="00CA4094" w:rsidRPr="00CA4094" w:rsidRDefault="00CA4094" w:rsidP="00CA4094">
            <w:pPr>
              <w:spacing w:after="0"/>
              <w:jc w:val="both"/>
              <w:rPr>
                <w:rFonts w:cstheme="minorHAnsi"/>
              </w:rPr>
            </w:pPr>
          </w:p>
          <w:p w14:paraId="5C190082" w14:textId="77777777" w:rsidR="00CA4094" w:rsidRPr="00CA4094" w:rsidRDefault="00CA4094" w:rsidP="00CA4094">
            <w:pPr>
              <w:spacing w:after="0"/>
              <w:jc w:val="both"/>
              <w:rPr>
                <w:rFonts w:cstheme="minorHAnsi"/>
              </w:rPr>
            </w:pPr>
            <w:r w:rsidRPr="00CA4094">
              <w:rPr>
                <w:rFonts w:cstheme="minorHAnsi"/>
              </w:rPr>
              <w:t xml:space="preserve">Përmes pagesave </w:t>
            </w:r>
            <w:proofErr w:type="spellStart"/>
            <w:r w:rsidRPr="00CA4094">
              <w:rPr>
                <w:rFonts w:cstheme="minorHAnsi"/>
              </w:rPr>
              <w:t>direkte</w:t>
            </w:r>
            <w:proofErr w:type="spellEnd"/>
            <w:r w:rsidRPr="00CA4094">
              <w:rPr>
                <w:rFonts w:cstheme="minorHAnsi"/>
              </w:rPr>
              <w:t xml:space="preserve"> nga Thesari për vendime gjyqësore/përmbarimore, janë ekzekutuar 12 transaksione në vlerë 284,095€ për pagat jubilare dhe shujtat, si dhe një transaksion për subvencione dhe </w:t>
            </w:r>
            <w:proofErr w:type="spellStart"/>
            <w:r w:rsidRPr="00CA4094">
              <w:rPr>
                <w:rFonts w:cstheme="minorHAnsi"/>
              </w:rPr>
              <w:t>transfere</w:t>
            </w:r>
            <w:proofErr w:type="spellEnd"/>
            <w:r w:rsidRPr="00CA4094">
              <w:rPr>
                <w:rFonts w:cstheme="minorHAnsi"/>
              </w:rPr>
              <w:t xml:space="preserve"> në vlerë 42,754€, të cilat janë realizuar nga kategoria e investimeve kapitale. Në këto dy raste, </w:t>
            </w:r>
            <w:proofErr w:type="spellStart"/>
            <w:r w:rsidRPr="00CA4094">
              <w:rPr>
                <w:rFonts w:cstheme="minorHAnsi"/>
              </w:rPr>
              <w:t>keqklasifikimi</w:t>
            </w:r>
            <w:proofErr w:type="spellEnd"/>
            <w:r w:rsidRPr="00CA4094">
              <w:rPr>
                <w:rFonts w:cstheme="minorHAnsi"/>
              </w:rPr>
              <w:t xml:space="preserve"> i shpenzimeve ishte në vlerë 326,894€.</w:t>
            </w:r>
          </w:p>
          <w:p w14:paraId="463574FC" w14:textId="77777777" w:rsidR="00CA4094" w:rsidRPr="00CA4094" w:rsidRDefault="00CA4094" w:rsidP="00CA4094">
            <w:pPr>
              <w:spacing w:after="0"/>
              <w:jc w:val="both"/>
              <w:rPr>
                <w:rFonts w:cstheme="minorHAnsi"/>
              </w:rPr>
            </w:pPr>
          </w:p>
          <w:p w14:paraId="04718576" w14:textId="0BD5C7C2" w:rsidR="00930B7C" w:rsidRPr="00EC6E6F" w:rsidRDefault="00CA4094" w:rsidP="00CA4094">
            <w:pPr>
              <w:spacing w:after="0"/>
              <w:jc w:val="both"/>
              <w:rPr>
                <w:rFonts w:cstheme="minorHAnsi"/>
              </w:rPr>
            </w:pPr>
            <w:r w:rsidRPr="00CA4094">
              <w:rPr>
                <w:rFonts w:cstheme="minorHAnsi"/>
              </w:rPr>
              <w:t>Pagesat për paga jubilare dhe shujta kanë ndodhur si rezultat i kontratës kolektive shpenzimet e të cilave nuk janë planifikuar në buxhet. Ndërsa, pagesa e subvencioneve dhe e mallrave nga kategoria e investimeve kapitale ka ndodhur si rezultat i moszbatimit të drejtë të rregullave financiare që rregullojnë përdorimin e fondeve publike.</w:t>
            </w:r>
          </w:p>
        </w:tc>
        <w:tc>
          <w:tcPr>
            <w:tcW w:w="2070" w:type="dxa"/>
          </w:tcPr>
          <w:p w14:paraId="1219BE96" w14:textId="16915E01" w:rsidR="00930B7C" w:rsidRPr="00EC6E6F" w:rsidRDefault="00CA4094" w:rsidP="00930B7C">
            <w:pPr>
              <w:spacing w:after="0"/>
              <w:jc w:val="both"/>
              <w:rPr>
                <w:rFonts w:cstheme="minorHAnsi"/>
              </w:rPr>
            </w:pPr>
            <w:r w:rsidRPr="00CA4094">
              <w:rPr>
                <w:rFonts w:cstheme="minorHAnsi"/>
              </w:rPr>
              <w:t xml:space="preserve">Kryetari duhet të sigurojë që janë ndërmarrë të gjitha veprimet që shpenzimet të planifikohen në ndarjet adekuate të buxhetit (apo të </w:t>
            </w:r>
            <w:proofErr w:type="spellStart"/>
            <w:r w:rsidRPr="00CA4094">
              <w:rPr>
                <w:rFonts w:cstheme="minorHAnsi"/>
              </w:rPr>
              <w:t>ridestinohen</w:t>
            </w:r>
            <w:proofErr w:type="spellEnd"/>
            <w:r w:rsidRPr="00CA4094">
              <w:rPr>
                <w:rFonts w:cstheme="minorHAnsi"/>
              </w:rPr>
              <w:t xml:space="preserve"> mjetet kur është e nevojshme dhe e mundshme) ashtu që pagesa dhe regjistrimi i shpenzimeve të bëhet sipas kodeve ekonomike adekuate.</w:t>
            </w:r>
          </w:p>
        </w:tc>
        <w:tc>
          <w:tcPr>
            <w:tcW w:w="2250" w:type="dxa"/>
          </w:tcPr>
          <w:p w14:paraId="00B1353F" w14:textId="664CDD8E" w:rsidR="00930B7C" w:rsidRPr="00EC6E6F" w:rsidRDefault="0004533E" w:rsidP="0004533E">
            <w:pPr>
              <w:spacing w:after="0"/>
              <w:rPr>
                <w:rFonts w:cstheme="minorHAnsi"/>
              </w:rPr>
            </w:pPr>
            <w:r>
              <w:rPr>
                <w:rFonts w:cstheme="minorHAnsi"/>
              </w:rPr>
              <w:t>Ne do ti ndërmarrim të gjitha veprimet e nevojshme për ndarjen e fondeve në të gjitha kategoritë ekonomike në m</w:t>
            </w:r>
            <w:r w:rsidR="007F36DB">
              <w:rPr>
                <w:rFonts w:cstheme="minorHAnsi"/>
              </w:rPr>
              <w:t>ë</w:t>
            </w:r>
            <w:r>
              <w:rPr>
                <w:rFonts w:cstheme="minorHAnsi"/>
              </w:rPr>
              <w:t>nyr</w:t>
            </w:r>
            <w:r w:rsidR="007F36DB">
              <w:rPr>
                <w:rFonts w:cstheme="minorHAnsi"/>
              </w:rPr>
              <w:t>ë</w:t>
            </w:r>
            <w:r>
              <w:rPr>
                <w:rFonts w:cstheme="minorHAnsi"/>
              </w:rPr>
              <w:t xml:space="preserve"> që mos të krijohen keq</w:t>
            </w:r>
            <w:r w:rsidR="007F36DB">
              <w:rPr>
                <w:rFonts w:cstheme="minorHAnsi"/>
              </w:rPr>
              <w:t xml:space="preserve"> </w:t>
            </w:r>
            <w:r>
              <w:rPr>
                <w:rFonts w:cstheme="minorHAnsi"/>
              </w:rPr>
              <w:t>klasifikime edhe pse disa here keq</w:t>
            </w:r>
            <w:r w:rsidR="007F36DB">
              <w:rPr>
                <w:rFonts w:cstheme="minorHAnsi"/>
              </w:rPr>
              <w:t xml:space="preserve"> </w:t>
            </w:r>
            <w:r>
              <w:rPr>
                <w:rFonts w:cstheme="minorHAnsi"/>
              </w:rPr>
              <w:t>klasifikimi po ndikohet edhe nga faktorë tj</w:t>
            </w:r>
            <w:r w:rsidR="007F36DB">
              <w:rPr>
                <w:rFonts w:cstheme="minorHAnsi"/>
              </w:rPr>
              <w:t>e</w:t>
            </w:r>
            <w:r>
              <w:rPr>
                <w:rFonts w:cstheme="minorHAnsi"/>
              </w:rPr>
              <w:t>rë të jashtëm. Si për</w:t>
            </w:r>
            <w:r w:rsidR="007F36DB">
              <w:rPr>
                <w:rFonts w:cstheme="minorHAnsi"/>
              </w:rPr>
              <w:t xml:space="preserve"> </w:t>
            </w:r>
            <w:r>
              <w:rPr>
                <w:rFonts w:cstheme="minorHAnsi"/>
              </w:rPr>
              <w:t>shembull Thesari. Konsiderojmë që ky rekomandim do t</w:t>
            </w:r>
            <w:r>
              <w:rPr>
                <w:rFonts w:eastAsia="Segoe UI Symbol" w:cstheme="minorHAnsi" w:hint="eastAsia"/>
              </w:rPr>
              <w:t>ë</w:t>
            </w:r>
            <w:r>
              <w:rPr>
                <w:rFonts w:cstheme="minorHAnsi"/>
              </w:rPr>
              <w:t xml:space="preserve"> jet</w:t>
            </w:r>
            <w:r w:rsidR="006703DF">
              <w:rPr>
                <w:rFonts w:cstheme="minorHAnsi"/>
              </w:rPr>
              <w:t>ë</w:t>
            </w:r>
            <w:r>
              <w:rPr>
                <w:rFonts w:cstheme="minorHAnsi"/>
              </w:rPr>
              <w:t xml:space="preserve"> i zbatuar </w:t>
            </w:r>
            <w:r w:rsidR="007F36DB">
              <w:rPr>
                <w:rFonts w:cstheme="minorHAnsi"/>
              </w:rPr>
              <w:t>gjatë</w:t>
            </w:r>
            <w:r>
              <w:rPr>
                <w:rFonts w:cstheme="minorHAnsi"/>
              </w:rPr>
              <w:t xml:space="preserve"> vitit 2024</w:t>
            </w:r>
            <w:r w:rsidR="006703DF">
              <w:rPr>
                <w:rFonts w:cstheme="minorHAnsi"/>
              </w:rPr>
              <w:t>.</w:t>
            </w:r>
          </w:p>
        </w:tc>
        <w:tc>
          <w:tcPr>
            <w:tcW w:w="1080" w:type="dxa"/>
          </w:tcPr>
          <w:p w14:paraId="29546092" w14:textId="2C35FC2D" w:rsidR="00930B7C" w:rsidRPr="00EC6E6F" w:rsidRDefault="005017A0" w:rsidP="00930B7C">
            <w:pPr>
              <w:spacing w:after="0"/>
              <w:jc w:val="center"/>
              <w:rPr>
                <w:rFonts w:cstheme="minorHAnsi"/>
              </w:rPr>
            </w:pPr>
            <w:r>
              <w:rPr>
                <w:rFonts w:cstheme="minorHAnsi"/>
              </w:rPr>
              <w:t xml:space="preserve">Drejtoria për Buxhet dhe financa, me drejtori tjera </w:t>
            </w:r>
            <w:proofErr w:type="spellStart"/>
            <w:r>
              <w:rPr>
                <w:rFonts w:cstheme="minorHAnsi"/>
              </w:rPr>
              <w:t>përkatse</w:t>
            </w:r>
            <w:proofErr w:type="spellEnd"/>
          </w:p>
        </w:tc>
        <w:tc>
          <w:tcPr>
            <w:tcW w:w="810" w:type="dxa"/>
          </w:tcPr>
          <w:p w14:paraId="25097ABD" w14:textId="6F7BD3BF" w:rsidR="00930B7C" w:rsidRPr="00912F16" w:rsidRDefault="00930B7C" w:rsidP="00930B7C">
            <w:pPr>
              <w:spacing w:after="0"/>
              <w:jc w:val="center"/>
              <w:rPr>
                <w:sz w:val="20"/>
                <w:szCs w:val="20"/>
              </w:rPr>
            </w:pPr>
            <w:r>
              <w:rPr>
                <w:sz w:val="20"/>
                <w:szCs w:val="20"/>
              </w:rPr>
              <w:t>202</w:t>
            </w:r>
            <w:r w:rsidR="005017A0">
              <w:rPr>
                <w:sz w:val="20"/>
                <w:szCs w:val="20"/>
              </w:rPr>
              <w:t>4</w:t>
            </w:r>
          </w:p>
        </w:tc>
        <w:tc>
          <w:tcPr>
            <w:tcW w:w="905" w:type="dxa"/>
          </w:tcPr>
          <w:p w14:paraId="77B65E64" w14:textId="77777777" w:rsidR="00930B7C" w:rsidRPr="00912F16" w:rsidRDefault="00930B7C" w:rsidP="00930B7C">
            <w:pPr>
              <w:spacing w:after="0"/>
              <w:rPr>
                <w:sz w:val="20"/>
                <w:szCs w:val="20"/>
              </w:rPr>
            </w:pPr>
          </w:p>
        </w:tc>
      </w:tr>
      <w:tr w:rsidR="00930B7C" w:rsidRPr="00912F16" w14:paraId="44B75EDE" w14:textId="77777777" w:rsidTr="007F36DB">
        <w:trPr>
          <w:trHeight w:val="33"/>
          <w:jc w:val="center"/>
        </w:trPr>
        <w:tc>
          <w:tcPr>
            <w:tcW w:w="535" w:type="dxa"/>
          </w:tcPr>
          <w:p w14:paraId="7D6DFD8C" w14:textId="162CAA51" w:rsidR="00930B7C" w:rsidRPr="00242418" w:rsidRDefault="00930B7C" w:rsidP="00930B7C">
            <w:pPr>
              <w:spacing w:after="0"/>
              <w:rPr>
                <w:rFonts w:ascii="Book Antiqua" w:hAnsi="Book Antiqua"/>
                <w:b/>
                <w:sz w:val="24"/>
                <w:szCs w:val="24"/>
              </w:rPr>
            </w:pPr>
            <w:r w:rsidRPr="00242418">
              <w:rPr>
                <w:rFonts w:ascii="Book Antiqua" w:hAnsi="Book Antiqua"/>
                <w:b/>
                <w:sz w:val="24"/>
                <w:szCs w:val="24"/>
              </w:rPr>
              <w:lastRenderedPageBreak/>
              <w:t>2.</w:t>
            </w:r>
          </w:p>
        </w:tc>
        <w:tc>
          <w:tcPr>
            <w:tcW w:w="1260" w:type="dxa"/>
          </w:tcPr>
          <w:p w14:paraId="7FA4E269" w14:textId="2CCC6E6D" w:rsidR="00930B7C" w:rsidRPr="00912F16" w:rsidRDefault="00CA4094" w:rsidP="00930B7C">
            <w:pPr>
              <w:spacing w:after="0"/>
              <w:rPr>
                <w:rFonts w:ascii="Book Antiqua" w:hAnsi="Book Antiqua"/>
                <w:sz w:val="20"/>
                <w:szCs w:val="20"/>
                <w:lang w:val="sr-Latn-RS"/>
              </w:rPr>
            </w:pPr>
            <w:r w:rsidRPr="00CA4094">
              <w:rPr>
                <w:b/>
              </w:rPr>
              <w:t xml:space="preserve">Çështja A2 - </w:t>
            </w:r>
            <w:r w:rsidRPr="00CA4094">
              <w:t xml:space="preserve">Mbivlerësimi i detyrimeve </w:t>
            </w:r>
            <w:proofErr w:type="spellStart"/>
            <w:r w:rsidRPr="00CA4094">
              <w:t>kontigjente</w:t>
            </w:r>
            <w:proofErr w:type="spellEnd"/>
            <w:r w:rsidRPr="00CA4094">
              <w:t>.</w:t>
            </w:r>
          </w:p>
        </w:tc>
        <w:tc>
          <w:tcPr>
            <w:tcW w:w="6390" w:type="dxa"/>
          </w:tcPr>
          <w:p w14:paraId="14862D82" w14:textId="77777777" w:rsidR="00CA4094" w:rsidRPr="00CA4094" w:rsidRDefault="00CA4094" w:rsidP="00CA4094">
            <w:pPr>
              <w:spacing w:after="0"/>
              <w:jc w:val="both"/>
              <w:rPr>
                <w:rFonts w:cstheme="minorHAnsi"/>
              </w:rPr>
            </w:pPr>
            <w:r w:rsidRPr="00CA4094">
              <w:rPr>
                <w:rFonts w:cstheme="minorHAnsi"/>
              </w:rPr>
              <w:t xml:space="preserve">Bazuar në nenin 18 të Rregullores 01/2017 për Pasqyrat financiare vjetore të organizatave buxhetore përcaktohet se: “Organizatat buxhetore në harmoni me LMFPP-në raportojnë të gjitha detyrimet </w:t>
            </w:r>
            <w:proofErr w:type="spellStart"/>
            <w:r w:rsidRPr="00CA4094">
              <w:rPr>
                <w:rFonts w:cstheme="minorHAnsi"/>
              </w:rPr>
              <w:t>kontigjente</w:t>
            </w:r>
            <w:proofErr w:type="spellEnd"/>
            <w:r w:rsidRPr="00CA4094">
              <w:rPr>
                <w:rFonts w:cstheme="minorHAnsi"/>
              </w:rPr>
              <w:t>”.</w:t>
            </w:r>
          </w:p>
          <w:p w14:paraId="7A8C9795" w14:textId="77777777" w:rsidR="00CA4094" w:rsidRPr="00CA4094" w:rsidRDefault="00CA4094" w:rsidP="00CA4094">
            <w:pPr>
              <w:spacing w:after="0"/>
              <w:jc w:val="both"/>
              <w:rPr>
                <w:rFonts w:cstheme="minorHAnsi"/>
              </w:rPr>
            </w:pPr>
          </w:p>
          <w:p w14:paraId="7EA03AA4" w14:textId="77777777" w:rsidR="00CA4094" w:rsidRPr="00CA4094" w:rsidRDefault="00CA4094" w:rsidP="00CA4094">
            <w:pPr>
              <w:spacing w:after="0"/>
              <w:jc w:val="both"/>
              <w:rPr>
                <w:rFonts w:cstheme="minorHAnsi"/>
              </w:rPr>
            </w:pPr>
            <w:r w:rsidRPr="00CA4094">
              <w:rPr>
                <w:rFonts w:cstheme="minorHAnsi"/>
              </w:rPr>
              <w:t xml:space="preserve">Gjatë testimit të mostrave, kemi vërejtur se në nëntë (6) raste në vlerë 78,534€ detyrimet </w:t>
            </w:r>
            <w:proofErr w:type="spellStart"/>
            <w:r w:rsidRPr="00CA4094">
              <w:rPr>
                <w:rFonts w:cstheme="minorHAnsi"/>
              </w:rPr>
              <w:t>kontigjente</w:t>
            </w:r>
            <w:proofErr w:type="spellEnd"/>
            <w:r w:rsidRPr="00CA4094">
              <w:rPr>
                <w:rFonts w:cstheme="minorHAnsi"/>
              </w:rPr>
              <w:t xml:space="preserve"> ishin mbivlerësuar, si:</w:t>
            </w:r>
          </w:p>
          <w:p w14:paraId="63F6AE2C" w14:textId="77777777" w:rsidR="00CA4094" w:rsidRPr="00CA4094" w:rsidRDefault="00CA4094" w:rsidP="00CA4094">
            <w:pPr>
              <w:spacing w:after="0"/>
              <w:jc w:val="both"/>
              <w:rPr>
                <w:rFonts w:cstheme="minorHAnsi"/>
              </w:rPr>
            </w:pPr>
            <w:r w:rsidRPr="00CA4094">
              <w:rPr>
                <w:rFonts w:cstheme="minorHAnsi"/>
              </w:rPr>
              <w:t>•</w:t>
            </w:r>
            <w:r w:rsidRPr="00CA4094">
              <w:rPr>
                <w:rFonts w:cstheme="minorHAnsi"/>
              </w:rPr>
              <w:tab/>
              <w:t>Në pesë (5) raste, që kanë të bëjnë me kompensimin e pagave jubilare dhe shujtave (P/nr. 830/2023 në vlerë 24,010€, C.nr.102/2021 në vlerë 12,915€, P.nr.831/2023 në vlerë 3,018€, P.nr271/2022 në vlerë 2,548€ dhe P.nr.269/2022 në vlerë 2,548€), komuna ka pranuar të vendime gjyqësore/ përmbarime dhe pagesat ishin duke u ekzekutuar; dhe</w:t>
            </w:r>
          </w:p>
          <w:p w14:paraId="0984ACEC" w14:textId="77777777" w:rsidR="00CA4094" w:rsidRPr="00CA4094" w:rsidRDefault="00CA4094" w:rsidP="00CA4094">
            <w:pPr>
              <w:spacing w:after="0"/>
              <w:jc w:val="both"/>
              <w:rPr>
                <w:rFonts w:cstheme="minorHAnsi"/>
              </w:rPr>
            </w:pPr>
            <w:r w:rsidRPr="00CA4094">
              <w:rPr>
                <w:rFonts w:cstheme="minorHAnsi"/>
              </w:rPr>
              <w:t>•</w:t>
            </w:r>
            <w:r w:rsidRPr="00CA4094">
              <w:rPr>
                <w:rFonts w:cstheme="minorHAnsi"/>
              </w:rPr>
              <w:tab/>
              <w:t>Lënda P.nr352/15 në vlerë 33,495€ e raportuar si detyrim kontingjent në PVF, nuk është detyrim i komunës, por borxh i një operatori ekonomik ndaj komunës.</w:t>
            </w:r>
          </w:p>
          <w:p w14:paraId="057C954B" w14:textId="41EA9288" w:rsidR="00930B7C" w:rsidRPr="00EC6E6F" w:rsidRDefault="00CA4094" w:rsidP="00CA4094">
            <w:pPr>
              <w:spacing w:after="0"/>
              <w:jc w:val="both"/>
              <w:rPr>
                <w:rFonts w:cstheme="minorHAnsi"/>
              </w:rPr>
            </w:pPr>
            <w:r w:rsidRPr="00CA4094">
              <w:rPr>
                <w:rFonts w:cstheme="minorHAnsi"/>
              </w:rPr>
              <w:t>Kjo gjendje ishte për shkak të mungesës së komunikimit mes sektorit të financave dhe përfaqësuesit ligjor të komunës.</w:t>
            </w:r>
          </w:p>
        </w:tc>
        <w:tc>
          <w:tcPr>
            <w:tcW w:w="2070" w:type="dxa"/>
          </w:tcPr>
          <w:p w14:paraId="1778079C" w14:textId="55D37DE7" w:rsidR="00930B7C" w:rsidRPr="00EC6E6F" w:rsidRDefault="00CA4094" w:rsidP="00930B7C">
            <w:pPr>
              <w:spacing w:after="0"/>
              <w:jc w:val="both"/>
              <w:rPr>
                <w:rFonts w:cstheme="minorHAnsi"/>
              </w:rPr>
            </w:pPr>
            <w:r w:rsidRPr="00CA4094">
              <w:rPr>
                <w:rFonts w:cstheme="minorHAnsi"/>
              </w:rPr>
              <w:t xml:space="preserve">Kryetari duhet të sigurojë përforcimin e komunikimit në mes sektorit të financave dhe përfaqësuesit ligjor të komunës, me qëllim që informacioni financiar në regjistrin e detyrimeve </w:t>
            </w:r>
            <w:proofErr w:type="spellStart"/>
            <w:r w:rsidRPr="00CA4094">
              <w:rPr>
                <w:rFonts w:cstheme="minorHAnsi"/>
              </w:rPr>
              <w:t>kontigjente</w:t>
            </w:r>
            <w:proofErr w:type="spellEnd"/>
            <w:r w:rsidRPr="00CA4094">
              <w:rPr>
                <w:rFonts w:cstheme="minorHAnsi"/>
              </w:rPr>
              <w:t xml:space="preserve"> dhe raportimi i tyre të jetë i saktë dhe i plotë në PVF.</w:t>
            </w:r>
          </w:p>
        </w:tc>
        <w:tc>
          <w:tcPr>
            <w:tcW w:w="2250" w:type="dxa"/>
          </w:tcPr>
          <w:p w14:paraId="171534E4" w14:textId="66A39F40" w:rsidR="00930B7C" w:rsidRPr="00EC6E6F" w:rsidRDefault="002E34A0" w:rsidP="00A82A31">
            <w:pPr>
              <w:spacing w:after="0"/>
              <w:rPr>
                <w:rFonts w:cstheme="minorHAnsi"/>
              </w:rPr>
            </w:pPr>
            <w:r>
              <w:rPr>
                <w:rFonts w:cstheme="minorHAnsi"/>
              </w:rPr>
              <w:t>Rekomandimi te çështja A2 do të zbatohet gjatë vitit 2024,  për të gjitha lëndë që kemi pranuar vendim</w:t>
            </w:r>
            <w:r w:rsidR="001B7CF4">
              <w:rPr>
                <w:rFonts w:cstheme="minorHAnsi"/>
              </w:rPr>
              <w:t>e</w:t>
            </w:r>
            <w:r>
              <w:rPr>
                <w:rFonts w:cstheme="minorHAnsi"/>
              </w:rPr>
              <w:t xml:space="preserve"> gjyqësor</w:t>
            </w:r>
            <w:r w:rsidR="001B7CF4">
              <w:rPr>
                <w:rFonts w:cstheme="minorHAnsi"/>
              </w:rPr>
              <w:t>e,</w:t>
            </w:r>
            <w:r>
              <w:rPr>
                <w:rFonts w:cstheme="minorHAnsi"/>
              </w:rPr>
              <w:t xml:space="preserve">  nuk ushtrohet prapsim, dhe janë në ekzekutim të largohen nga regjistri i detyrimeve </w:t>
            </w:r>
            <w:proofErr w:type="spellStart"/>
            <w:r>
              <w:rPr>
                <w:rFonts w:cstheme="minorHAnsi"/>
              </w:rPr>
              <w:t>kontigjente</w:t>
            </w:r>
            <w:proofErr w:type="spellEnd"/>
          </w:p>
        </w:tc>
        <w:tc>
          <w:tcPr>
            <w:tcW w:w="1080" w:type="dxa"/>
          </w:tcPr>
          <w:p w14:paraId="239AD0FE" w14:textId="00E01D33" w:rsidR="00930B7C" w:rsidRPr="00EC6E6F" w:rsidRDefault="000D3559" w:rsidP="00930B7C">
            <w:pPr>
              <w:spacing w:after="0"/>
              <w:jc w:val="center"/>
              <w:rPr>
                <w:rFonts w:cstheme="minorHAnsi"/>
              </w:rPr>
            </w:pPr>
            <w:r>
              <w:rPr>
                <w:rFonts w:cstheme="minorHAnsi"/>
              </w:rPr>
              <w:t xml:space="preserve">Zyra ligjore, zyra juridike në bashkëpunim me drejtoritë </w:t>
            </w:r>
            <w:proofErr w:type="spellStart"/>
            <w:r>
              <w:rPr>
                <w:rFonts w:cstheme="minorHAnsi"/>
              </w:rPr>
              <w:t>përkatse</w:t>
            </w:r>
            <w:proofErr w:type="spellEnd"/>
          </w:p>
        </w:tc>
        <w:tc>
          <w:tcPr>
            <w:tcW w:w="810" w:type="dxa"/>
          </w:tcPr>
          <w:p w14:paraId="055062AA" w14:textId="3BF556A9" w:rsidR="00930B7C" w:rsidRPr="00912F16" w:rsidRDefault="00930B7C" w:rsidP="00930B7C">
            <w:pPr>
              <w:spacing w:after="0"/>
              <w:rPr>
                <w:sz w:val="20"/>
                <w:szCs w:val="20"/>
              </w:rPr>
            </w:pPr>
            <w:r>
              <w:rPr>
                <w:sz w:val="20"/>
                <w:szCs w:val="20"/>
              </w:rPr>
              <w:t>202</w:t>
            </w:r>
            <w:r w:rsidR="000D3559">
              <w:rPr>
                <w:sz w:val="20"/>
                <w:szCs w:val="20"/>
              </w:rPr>
              <w:t>4</w:t>
            </w:r>
          </w:p>
        </w:tc>
        <w:tc>
          <w:tcPr>
            <w:tcW w:w="905" w:type="dxa"/>
          </w:tcPr>
          <w:p w14:paraId="77E5C4AF" w14:textId="77777777" w:rsidR="00930B7C" w:rsidRPr="00344F9F" w:rsidRDefault="00930B7C" w:rsidP="00930B7C">
            <w:pPr>
              <w:spacing w:after="0"/>
              <w:rPr>
                <w:rFonts w:ascii="Book Antiqua" w:hAnsi="Book Antiqua" w:cs="Book Antiqua"/>
                <w:color w:val="000000"/>
                <w:sz w:val="20"/>
                <w:szCs w:val="20"/>
                <w:lang w:val="sr-Latn-RS"/>
              </w:rPr>
            </w:pPr>
          </w:p>
        </w:tc>
      </w:tr>
      <w:tr w:rsidR="00930B7C" w:rsidRPr="00912F16" w14:paraId="6E9A94E8" w14:textId="77777777" w:rsidTr="007F36DB">
        <w:trPr>
          <w:trHeight w:val="33"/>
          <w:jc w:val="center"/>
        </w:trPr>
        <w:tc>
          <w:tcPr>
            <w:tcW w:w="535" w:type="dxa"/>
          </w:tcPr>
          <w:p w14:paraId="2165B802" w14:textId="10BB77B3" w:rsidR="00930B7C" w:rsidRDefault="00930B7C" w:rsidP="00930B7C">
            <w:pPr>
              <w:spacing w:after="0"/>
              <w:rPr>
                <w:rFonts w:ascii="Book Antiqua" w:hAnsi="Book Antiqua"/>
                <w:sz w:val="24"/>
                <w:szCs w:val="24"/>
              </w:rPr>
            </w:pPr>
            <w:r>
              <w:rPr>
                <w:rFonts w:ascii="Book Antiqua" w:hAnsi="Book Antiqua"/>
                <w:sz w:val="24"/>
                <w:szCs w:val="24"/>
              </w:rPr>
              <w:t>3.</w:t>
            </w:r>
          </w:p>
          <w:p w14:paraId="5650E131" w14:textId="77777777" w:rsidR="00930B7C" w:rsidRDefault="00930B7C" w:rsidP="00930B7C">
            <w:pPr>
              <w:spacing w:after="0"/>
              <w:rPr>
                <w:rFonts w:ascii="Book Antiqua" w:hAnsi="Book Antiqua"/>
                <w:sz w:val="24"/>
                <w:szCs w:val="24"/>
              </w:rPr>
            </w:pPr>
          </w:p>
          <w:p w14:paraId="77DC050A" w14:textId="77777777" w:rsidR="00930B7C" w:rsidRDefault="00930B7C" w:rsidP="00930B7C">
            <w:pPr>
              <w:spacing w:after="0"/>
              <w:rPr>
                <w:rFonts w:ascii="Book Antiqua" w:hAnsi="Book Antiqua"/>
                <w:sz w:val="24"/>
                <w:szCs w:val="24"/>
              </w:rPr>
            </w:pPr>
          </w:p>
          <w:p w14:paraId="4EBA5495" w14:textId="77777777" w:rsidR="00930B7C" w:rsidRDefault="00930B7C" w:rsidP="00930B7C">
            <w:pPr>
              <w:spacing w:after="0"/>
              <w:rPr>
                <w:rFonts w:ascii="Book Antiqua" w:hAnsi="Book Antiqua"/>
                <w:sz w:val="24"/>
                <w:szCs w:val="24"/>
              </w:rPr>
            </w:pPr>
          </w:p>
          <w:p w14:paraId="5D4BAD05" w14:textId="77777777" w:rsidR="00930B7C" w:rsidRDefault="00930B7C" w:rsidP="00930B7C">
            <w:pPr>
              <w:spacing w:after="0"/>
              <w:rPr>
                <w:rFonts w:ascii="Book Antiqua" w:hAnsi="Book Antiqua"/>
                <w:sz w:val="24"/>
                <w:szCs w:val="24"/>
              </w:rPr>
            </w:pPr>
          </w:p>
          <w:p w14:paraId="3B39914D" w14:textId="77777777" w:rsidR="00930B7C" w:rsidRDefault="00930B7C" w:rsidP="00930B7C">
            <w:pPr>
              <w:spacing w:after="0"/>
              <w:rPr>
                <w:rFonts w:ascii="Book Antiqua" w:hAnsi="Book Antiqua"/>
                <w:sz w:val="24"/>
                <w:szCs w:val="24"/>
              </w:rPr>
            </w:pPr>
          </w:p>
          <w:p w14:paraId="2A8813CF" w14:textId="77777777" w:rsidR="00930B7C" w:rsidRDefault="00930B7C" w:rsidP="00930B7C">
            <w:pPr>
              <w:spacing w:after="0"/>
              <w:rPr>
                <w:rFonts w:ascii="Book Antiqua" w:hAnsi="Book Antiqua"/>
                <w:sz w:val="24"/>
                <w:szCs w:val="24"/>
              </w:rPr>
            </w:pPr>
          </w:p>
          <w:p w14:paraId="416CC810" w14:textId="77777777" w:rsidR="00930B7C" w:rsidRDefault="00930B7C" w:rsidP="00930B7C">
            <w:pPr>
              <w:spacing w:after="0"/>
              <w:rPr>
                <w:rFonts w:ascii="Book Antiqua" w:hAnsi="Book Antiqua"/>
                <w:sz w:val="24"/>
                <w:szCs w:val="24"/>
              </w:rPr>
            </w:pPr>
          </w:p>
          <w:p w14:paraId="0543DBD1" w14:textId="77777777" w:rsidR="00930B7C" w:rsidRDefault="00930B7C" w:rsidP="00930B7C">
            <w:pPr>
              <w:spacing w:after="0"/>
              <w:rPr>
                <w:rFonts w:ascii="Book Antiqua" w:hAnsi="Book Antiqua"/>
                <w:sz w:val="24"/>
                <w:szCs w:val="24"/>
              </w:rPr>
            </w:pPr>
          </w:p>
          <w:p w14:paraId="175497C7" w14:textId="77777777" w:rsidR="00930B7C" w:rsidRDefault="00930B7C" w:rsidP="00930B7C">
            <w:pPr>
              <w:spacing w:after="0"/>
              <w:rPr>
                <w:rFonts w:ascii="Book Antiqua" w:hAnsi="Book Antiqua"/>
                <w:sz w:val="24"/>
                <w:szCs w:val="24"/>
              </w:rPr>
            </w:pPr>
          </w:p>
          <w:p w14:paraId="234F5F46" w14:textId="77777777" w:rsidR="00930B7C" w:rsidRDefault="00930B7C" w:rsidP="00930B7C">
            <w:pPr>
              <w:spacing w:after="0"/>
              <w:rPr>
                <w:rFonts w:ascii="Book Antiqua" w:hAnsi="Book Antiqua"/>
                <w:sz w:val="24"/>
                <w:szCs w:val="24"/>
              </w:rPr>
            </w:pPr>
          </w:p>
        </w:tc>
        <w:tc>
          <w:tcPr>
            <w:tcW w:w="1260" w:type="dxa"/>
          </w:tcPr>
          <w:p w14:paraId="3706B9D3" w14:textId="41ADA7B4" w:rsidR="00930B7C" w:rsidRDefault="005245EE" w:rsidP="00930B7C">
            <w:pPr>
              <w:spacing w:after="0"/>
            </w:pPr>
            <w:r w:rsidRPr="005245EE">
              <w:rPr>
                <w:b/>
              </w:rPr>
              <w:t xml:space="preserve">Çështja A3 - </w:t>
            </w:r>
            <w:r w:rsidRPr="005245EE">
              <w:t>Mangësi në menaxhimin e të hyrave nga tatimi në pronë</w:t>
            </w:r>
          </w:p>
        </w:tc>
        <w:tc>
          <w:tcPr>
            <w:tcW w:w="6390" w:type="dxa"/>
          </w:tcPr>
          <w:p w14:paraId="5921BAAE" w14:textId="77777777" w:rsidR="005245EE" w:rsidRPr="005245EE" w:rsidRDefault="005245EE" w:rsidP="005245EE">
            <w:pPr>
              <w:spacing w:after="0"/>
              <w:jc w:val="both"/>
              <w:rPr>
                <w:rFonts w:cstheme="minorHAnsi"/>
              </w:rPr>
            </w:pPr>
            <w:r w:rsidRPr="005245EE">
              <w:rPr>
                <w:rFonts w:cstheme="minorHAnsi"/>
              </w:rPr>
              <w:t>Ligji nr. 06/L-005 për Tatimin në Pronën e Paluajtshme, neni 11.1 dhe 11.4 4, përcakton se: Personi fizik i cili ka në pronësi apo posedim dy (2) ose më shumë njësi rezidenciale të objekteve, mund të deklarojë në përputhje me paragrafin 1, të këtij neni, vetëm një prej këtyre objekteve si vendbanimin e tij parësor, pa marrë parasysh faktin që njësitë e objekteve mund të ndodhen në komuna të ndryshme, i lejohet zbritja prej 15,000€ nga vlera e vlerësuar e njësisë së objektit. Ndërlidhur me këtë UA nr. 03/20211 për mbledhjen dhe regjistrimin e informative mbi pronën dhe tatimpaguesin, neni 7, paragrafi 1.1, kërkon numrin personal identifikues të tatimpaguesit fizik..</w:t>
            </w:r>
          </w:p>
          <w:p w14:paraId="7E039261" w14:textId="77777777" w:rsidR="005245EE" w:rsidRPr="005245EE" w:rsidRDefault="005245EE" w:rsidP="005245EE">
            <w:pPr>
              <w:spacing w:after="0"/>
              <w:jc w:val="both"/>
              <w:rPr>
                <w:rFonts w:cstheme="minorHAnsi"/>
              </w:rPr>
            </w:pPr>
          </w:p>
          <w:p w14:paraId="6A138607" w14:textId="77777777" w:rsidR="005245EE" w:rsidRPr="005245EE" w:rsidRDefault="005245EE" w:rsidP="005245EE">
            <w:pPr>
              <w:spacing w:after="0"/>
              <w:jc w:val="both"/>
              <w:rPr>
                <w:rFonts w:cstheme="minorHAnsi"/>
              </w:rPr>
            </w:pPr>
            <w:r w:rsidRPr="005245EE">
              <w:rPr>
                <w:rFonts w:cstheme="minorHAnsi"/>
              </w:rPr>
              <w:t>Pas analizës së bërë, kemi identifikuar se në raportin financiar të objekteve, janë identifikuar 428 tatimpagues që nuk kanë numër personal, për të cilët është zbatuar zbritja prej 15,000€ nga vlera e vlerësuar e njësisë së objektit.</w:t>
            </w:r>
          </w:p>
          <w:p w14:paraId="0A099EE0" w14:textId="77777777" w:rsidR="005245EE" w:rsidRPr="005245EE" w:rsidRDefault="005245EE" w:rsidP="005245EE">
            <w:pPr>
              <w:spacing w:after="0"/>
              <w:jc w:val="both"/>
              <w:rPr>
                <w:rFonts w:cstheme="minorHAnsi"/>
              </w:rPr>
            </w:pPr>
          </w:p>
          <w:p w14:paraId="41ED8865" w14:textId="2E20B32B" w:rsidR="00930B7C" w:rsidRPr="006B2EF8" w:rsidRDefault="005245EE" w:rsidP="005245EE">
            <w:pPr>
              <w:spacing w:after="0"/>
              <w:jc w:val="both"/>
              <w:rPr>
                <w:rFonts w:cstheme="minorHAnsi"/>
              </w:rPr>
            </w:pPr>
            <w:r w:rsidRPr="005245EE">
              <w:rPr>
                <w:rFonts w:cstheme="minorHAnsi"/>
              </w:rPr>
              <w:t xml:space="preserve">Kjo ka ndodhur për shkak të stafit të pa mjaftueshëm në sektorin e tatimit në pronë, ku nuk është arritur që të azhurnohen të dhënat në </w:t>
            </w:r>
            <w:proofErr w:type="spellStart"/>
            <w:r w:rsidRPr="005245EE">
              <w:rPr>
                <w:rFonts w:cstheme="minorHAnsi"/>
              </w:rPr>
              <w:t>Protax</w:t>
            </w:r>
            <w:proofErr w:type="spellEnd"/>
            <w:r w:rsidRPr="005245EE">
              <w:rPr>
                <w:rFonts w:cstheme="minorHAnsi"/>
              </w:rPr>
              <w:t>.</w:t>
            </w:r>
          </w:p>
        </w:tc>
        <w:tc>
          <w:tcPr>
            <w:tcW w:w="2070" w:type="dxa"/>
          </w:tcPr>
          <w:p w14:paraId="5096662E" w14:textId="10E9E3EF" w:rsidR="00930B7C" w:rsidRPr="00EC6E6F" w:rsidRDefault="005245EE" w:rsidP="00930B7C">
            <w:pPr>
              <w:spacing w:after="0"/>
              <w:jc w:val="both"/>
              <w:rPr>
                <w:rFonts w:cstheme="minorHAnsi"/>
              </w:rPr>
            </w:pPr>
            <w:r w:rsidRPr="005245EE">
              <w:rPr>
                <w:rFonts w:cstheme="minorHAnsi"/>
              </w:rPr>
              <w:t>Kryetari duhet të ndërmerr veprimet e nevojshme për të siguruar që baza e të dhënave të tatimit në pronë plotësohet me të gjithë numrat personal të tatimpaguesve, që të mundësohet verifikimi i të gjitha rasteve potenciale që mund të hasen me përfitim të zbritjeve për vendbanim parësor.</w:t>
            </w:r>
          </w:p>
        </w:tc>
        <w:tc>
          <w:tcPr>
            <w:tcW w:w="2250" w:type="dxa"/>
          </w:tcPr>
          <w:p w14:paraId="34DAC43C" w14:textId="361CB8F5" w:rsidR="00930B7C" w:rsidRPr="00EC6E6F" w:rsidRDefault="007C522E" w:rsidP="00930B7C">
            <w:pPr>
              <w:spacing w:after="0"/>
              <w:jc w:val="center"/>
              <w:rPr>
                <w:rFonts w:cstheme="minorHAnsi"/>
              </w:rPr>
            </w:pPr>
            <w:r>
              <w:rPr>
                <w:rFonts w:cstheme="minorHAnsi"/>
              </w:rPr>
              <w:t xml:space="preserve">Do të </w:t>
            </w:r>
            <w:proofErr w:type="spellStart"/>
            <w:r>
              <w:rPr>
                <w:rFonts w:cstheme="minorHAnsi"/>
              </w:rPr>
              <w:t>mirrën</w:t>
            </w:r>
            <w:proofErr w:type="spellEnd"/>
            <w:r>
              <w:rPr>
                <w:rFonts w:cstheme="minorHAnsi"/>
              </w:rPr>
              <w:t xml:space="preserve"> </w:t>
            </w:r>
            <w:proofErr w:type="spellStart"/>
            <w:r>
              <w:rPr>
                <w:rFonts w:cstheme="minorHAnsi"/>
              </w:rPr>
              <w:t>tëgjitha</w:t>
            </w:r>
            <w:proofErr w:type="spellEnd"/>
            <w:r>
              <w:rPr>
                <w:rFonts w:cstheme="minorHAnsi"/>
              </w:rPr>
              <w:t xml:space="preserve"> veprimet e </w:t>
            </w:r>
            <w:proofErr w:type="spellStart"/>
            <w:r>
              <w:rPr>
                <w:rFonts w:cstheme="minorHAnsi"/>
              </w:rPr>
              <w:t>e</w:t>
            </w:r>
            <w:proofErr w:type="spellEnd"/>
            <w:r>
              <w:rPr>
                <w:rFonts w:cstheme="minorHAnsi"/>
              </w:rPr>
              <w:t xml:space="preserve"> nevojshme për </w:t>
            </w:r>
            <w:proofErr w:type="spellStart"/>
            <w:r>
              <w:rPr>
                <w:rFonts w:cstheme="minorHAnsi"/>
              </w:rPr>
              <w:t>rexhistrimin</w:t>
            </w:r>
            <w:proofErr w:type="spellEnd"/>
            <w:r>
              <w:rPr>
                <w:rFonts w:cstheme="minorHAnsi"/>
              </w:rPr>
              <w:t xml:space="preserve"> e tatimpaguesve të cilët nuk kanë numër personal</w:t>
            </w:r>
            <w:r w:rsidR="00D84E47">
              <w:rPr>
                <w:rFonts w:cstheme="minorHAnsi"/>
              </w:rPr>
              <w:t xml:space="preserve"> </w:t>
            </w:r>
            <w:proofErr w:type="spellStart"/>
            <w:r w:rsidR="00D84E47">
              <w:rPr>
                <w:rFonts w:cstheme="minorHAnsi"/>
              </w:rPr>
              <w:t>indentifikues</w:t>
            </w:r>
            <w:r>
              <w:rPr>
                <w:rFonts w:cstheme="minorHAnsi"/>
              </w:rPr>
              <w:t>.dhe</w:t>
            </w:r>
            <w:proofErr w:type="spellEnd"/>
            <w:r>
              <w:rPr>
                <w:rFonts w:cstheme="minorHAnsi"/>
              </w:rPr>
              <w:t xml:space="preserve"> do të zbatohet gjatë vitit 2024.</w:t>
            </w:r>
            <w:r w:rsidR="00930B7C">
              <w:rPr>
                <w:rFonts w:cstheme="minorHAnsi"/>
              </w:rPr>
              <w:t xml:space="preserve"> </w:t>
            </w:r>
          </w:p>
        </w:tc>
        <w:tc>
          <w:tcPr>
            <w:tcW w:w="1080" w:type="dxa"/>
          </w:tcPr>
          <w:p w14:paraId="1964BF70" w14:textId="590260E7" w:rsidR="00930B7C" w:rsidRPr="00EC6E6F" w:rsidRDefault="00930B7C" w:rsidP="00930B7C">
            <w:pPr>
              <w:jc w:val="center"/>
              <w:rPr>
                <w:rFonts w:cstheme="minorHAnsi"/>
              </w:rPr>
            </w:pPr>
            <w:r>
              <w:rPr>
                <w:rFonts w:cstheme="minorHAnsi"/>
              </w:rPr>
              <w:t xml:space="preserve">Drejtoria </w:t>
            </w:r>
            <w:r w:rsidR="007C522E">
              <w:rPr>
                <w:rFonts w:cstheme="minorHAnsi"/>
              </w:rPr>
              <w:t xml:space="preserve">për Buxhet dhe </w:t>
            </w:r>
            <w:proofErr w:type="spellStart"/>
            <w:r w:rsidR="007C522E">
              <w:rPr>
                <w:rFonts w:cstheme="minorHAnsi"/>
              </w:rPr>
              <w:t>Financa,sektori</w:t>
            </w:r>
            <w:proofErr w:type="spellEnd"/>
            <w:r w:rsidR="007C522E">
              <w:rPr>
                <w:rFonts w:cstheme="minorHAnsi"/>
              </w:rPr>
              <w:t xml:space="preserve"> i tatimit në pronë</w:t>
            </w:r>
            <w:r>
              <w:rPr>
                <w:rFonts w:cstheme="minorHAnsi"/>
              </w:rPr>
              <w:t>.</w:t>
            </w:r>
          </w:p>
          <w:p w14:paraId="6AA4BCCB" w14:textId="77777777" w:rsidR="00930B7C" w:rsidRPr="00EC6E6F" w:rsidRDefault="00930B7C" w:rsidP="00930B7C">
            <w:pPr>
              <w:spacing w:after="0"/>
              <w:jc w:val="center"/>
              <w:rPr>
                <w:rFonts w:cstheme="minorHAnsi"/>
              </w:rPr>
            </w:pPr>
          </w:p>
        </w:tc>
        <w:tc>
          <w:tcPr>
            <w:tcW w:w="810" w:type="dxa"/>
          </w:tcPr>
          <w:p w14:paraId="4CEBAAC3" w14:textId="01D70A3E" w:rsidR="00930B7C" w:rsidRPr="00912F16" w:rsidRDefault="00930B7C" w:rsidP="00930B7C">
            <w:pPr>
              <w:spacing w:after="0"/>
              <w:rPr>
                <w:sz w:val="20"/>
                <w:szCs w:val="20"/>
              </w:rPr>
            </w:pPr>
            <w:r>
              <w:rPr>
                <w:sz w:val="20"/>
                <w:szCs w:val="20"/>
              </w:rPr>
              <w:t>202</w:t>
            </w:r>
            <w:r w:rsidR="00D84E47">
              <w:rPr>
                <w:sz w:val="20"/>
                <w:szCs w:val="20"/>
              </w:rPr>
              <w:t>4</w:t>
            </w:r>
          </w:p>
        </w:tc>
        <w:tc>
          <w:tcPr>
            <w:tcW w:w="905" w:type="dxa"/>
          </w:tcPr>
          <w:p w14:paraId="0802CDB7" w14:textId="77777777" w:rsidR="00930B7C" w:rsidRPr="00344F9F" w:rsidRDefault="00930B7C" w:rsidP="00930B7C">
            <w:pPr>
              <w:spacing w:after="0"/>
              <w:rPr>
                <w:rFonts w:ascii="Book Antiqua" w:hAnsi="Book Antiqua" w:cs="Book Antiqua"/>
                <w:color w:val="000000"/>
                <w:sz w:val="20"/>
                <w:szCs w:val="20"/>
                <w:lang w:val="sr-Latn-RS"/>
              </w:rPr>
            </w:pPr>
          </w:p>
        </w:tc>
      </w:tr>
      <w:tr w:rsidR="00930B7C" w:rsidRPr="00912F16" w14:paraId="4893D9D0" w14:textId="77777777" w:rsidTr="007F36DB">
        <w:trPr>
          <w:trHeight w:val="33"/>
          <w:jc w:val="center"/>
        </w:trPr>
        <w:tc>
          <w:tcPr>
            <w:tcW w:w="535" w:type="dxa"/>
          </w:tcPr>
          <w:p w14:paraId="435A807A" w14:textId="292646A4" w:rsidR="00930B7C" w:rsidRDefault="00930B7C" w:rsidP="00930B7C">
            <w:pPr>
              <w:spacing w:after="0"/>
              <w:rPr>
                <w:rFonts w:ascii="Book Antiqua" w:hAnsi="Book Antiqua"/>
                <w:sz w:val="24"/>
                <w:szCs w:val="24"/>
              </w:rPr>
            </w:pPr>
            <w:r>
              <w:rPr>
                <w:rFonts w:ascii="Book Antiqua" w:hAnsi="Book Antiqua"/>
                <w:sz w:val="24"/>
                <w:szCs w:val="24"/>
              </w:rPr>
              <w:lastRenderedPageBreak/>
              <w:t>4.</w:t>
            </w:r>
          </w:p>
        </w:tc>
        <w:tc>
          <w:tcPr>
            <w:tcW w:w="1260" w:type="dxa"/>
          </w:tcPr>
          <w:p w14:paraId="01FF8E62" w14:textId="4355AA71" w:rsidR="00930B7C" w:rsidRPr="00737B8C" w:rsidRDefault="00CB3A34" w:rsidP="00930B7C">
            <w:pPr>
              <w:spacing w:after="0"/>
              <w:jc w:val="both"/>
            </w:pPr>
            <w:r w:rsidRPr="00CB3A34">
              <w:rPr>
                <w:b/>
              </w:rPr>
              <w:t>Çështja A4</w:t>
            </w:r>
            <w:r w:rsidRPr="00CB3A34">
              <w:t xml:space="preserve"> - Kontraktimi i projekteve të paparapara më buxhet, në mungesë të mjeteve financiare dhe zgjatja e afatit të realizimit të projekteve më të gjatë sesa </w:t>
            </w:r>
            <w:proofErr w:type="spellStart"/>
            <w:r w:rsidRPr="00CB3A34">
              <w:t>ofertimi</w:t>
            </w:r>
            <w:proofErr w:type="spellEnd"/>
          </w:p>
        </w:tc>
        <w:tc>
          <w:tcPr>
            <w:tcW w:w="6390" w:type="dxa"/>
          </w:tcPr>
          <w:p w14:paraId="5B8DA0BC" w14:textId="77777777" w:rsidR="00CB3A34" w:rsidRPr="00CB3A34" w:rsidRDefault="00CB3A34" w:rsidP="00CB3A34">
            <w:pPr>
              <w:spacing w:after="0"/>
              <w:jc w:val="both"/>
              <w:rPr>
                <w:rFonts w:cstheme="minorHAnsi"/>
              </w:rPr>
            </w:pPr>
            <w:r w:rsidRPr="00CB3A34">
              <w:rPr>
                <w:rFonts w:cstheme="minorHAnsi"/>
              </w:rPr>
              <w:t xml:space="preserve">Ligji i prokurimit publik nr. 04/L-042, nenin 9 paragrafi 3 </w:t>
            </w:r>
            <w:proofErr w:type="spellStart"/>
            <w:r w:rsidRPr="00CB3A34">
              <w:rPr>
                <w:rFonts w:cstheme="minorHAnsi"/>
              </w:rPr>
              <w:t>taksativisht</w:t>
            </w:r>
            <w:proofErr w:type="spellEnd"/>
            <w:r w:rsidRPr="00CB3A34">
              <w:rPr>
                <w:rFonts w:cstheme="minorHAnsi"/>
              </w:rPr>
              <w:t xml:space="preserve"> normon se, nëse autoriteti kontraktues është autoritet publik ose organizatë buxhetore dhe prokurimi përkatës do të shkaktojë ngritjen e obligimeve financiare të cilat do të përmbushen nga ndarjet buxhetore që pritet të bëhen në vitet e ardhshme fiskale, ZKF do të (i) sigurojë që tabelat e bashkëngjitura Ligjit për Ndarjet Buxhetore ofrojnë bazë të arsyeshme për të pritur se në vitet a ardhshme fiskale do t’i ofrohen fonde të mjaftueshme për përmbushjen e obligimeve të tilla (</w:t>
            </w:r>
            <w:proofErr w:type="spellStart"/>
            <w:r w:rsidRPr="00CB3A34">
              <w:rPr>
                <w:rFonts w:cstheme="minorHAnsi"/>
              </w:rPr>
              <w:t>ii</w:t>
            </w:r>
            <w:proofErr w:type="spellEnd"/>
            <w:r w:rsidRPr="00CB3A34">
              <w:rPr>
                <w:rFonts w:cstheme="minorHAnsi"/>
              </w:rPr>
              <w:t xml:space="preserve">) të përfshijë në kontratën përkatëse publike një dispozitë që qartësisht e kushtëzon </w:t>
            </w:r>
            <w:proofErr w:type="spellStart"/>
            <w:r w:rsidRPr="00CB3A34">
              <w:rPr>
                <w:rFonts w:cstheme="minorHAnsi"/>
              </w:rPr>
              <w:t>zbatueshmërinë</w:t>
            </w:r>
            <w:proofErr w:type="spellEnd"/>
            <w:r w:rsidRPr="00CB3A34">
              <w:rPr>
                <w:rFonts w:cstheme="minorHAnsi"/>
              </w:rPr>
              <w:t xml:space="preserve"> e obligimeve të parashtruara në kontratë, me legjislacionet e ardhshme të përvetësimeve, të fondeve me qëllim të përmbushjes, dhe në një shumë të mjaftueshme për përmbushjen e obligimeve të tilla. LMFPP nr. 03/L-048 neni 36.1 përcakton se; Para inicimit të një procesi të prokurimit i cili ka për qëllim të rezultojë në ngritjen e një obligimi në vitin aktual fiskal, Organizata Buxhetore i regjistron të gjitha zotimet e fondeve të ndara në SIMFK. Ligji i buxhetit nr. 08/L-193 për vitin 2023, neni 12 paragrafi 8 </w:t>
            </w:r>
            <w:proofErr w:type="spellStart"/>
            <w:r w:rsidRPr="00CB3A34">
              <w:rPr>
                <w:rFonts w:cstheme="minorHAnsi"/>
              </w:rPr>
              <w:t>taksativisht</w:t>
            </w:r>
            <w:proofErr w:type="spellEnd"/>
            <w:r w:rsidRPr="00CB3A34">
              <w:rPr>
                <w:rFonts w:cstheme="minorHAnsi"/>
              </w:rPr>
              <w:t xml:space="preserve"> normon se; nënshkrimi i kontratave për projekte kapitale shumëvjeçare bëhet nga OB-të vetëm në rast se shpenzimet e tilla për koston totale të projektit janë të parapara në ligjin e buxhetit për vitin fiskal 2023 dhe për dy (2) vitet në vijim. Ndërlidhur me këtë, Njoftimi për kontratë dhe dosja e tenderit FTD, pjesa IV.2 -Kriteret për dhënien e kontratës “Tenderi ekonomikisht më i favorshëm në drejtim të kriterit 2 Afati me i shkurt i implementimit nga data e nënshkrimit të kontratës me </w:t>
            </w:r>
            <w:proofErr w:type="spellStart"/>
            <w:r w:rsidRPr="00CB3A34">
              <w:rPr>
                <w:rFonts w:cstheme="minorHAnsi"/>
              </w:rPr>
              <w:t>poentim</w:t>
            </w:r>
            <w:proofErr w:type="spellEnd"/>
            <w:r w:rsidRPr="00CB3A34">
              <w:rPr>
                <w:rFonts w:cstheme="minorHAnsi"/>
              </w:rPr>
              <w:t xml:space="preserve"> 0.2”.</w:t>
            </w:r>
          </w:p>
          <w:p w14:paraId="635C3319" w14:textId="77777777" w:rsidR="00CB3A34" w:rsidRPr="00CB3A34" w:rsidRDefault="00CB3A34" w:rsidP="00CB3A34">
            <w:pPr>
              <w:spacing w:after="0"/>
              <w:jc w:val="both"/>
              <w:rPr>
                <w:rFonts w:cstheme="minorHAnsi"/>
              </w:rPr>
            </w:pPr>
          </w:p>
          <w:p w14:paraId="63212803" w14:textId="77777777" w:rsidR="00CB3A34" w:rsidRPr="00CB3A34" w:rsidRDefault="00CB3A34" w:rsidP="00CB3A34">
            <w:pPr>
              <w:spacing w:after="0"/>
              <w:jc w:val="both"/>
              <w:rPr>
                <w:rFonts w:cstheme="minorHAnsi"/>
              </w:rPr>
            </w:pPr>
            <w:r w:rsidRPr="00CB3A34">
              <w:rPr>
                <w:rFonts w:cstheme="minorHAnsi"/>
              </w:rPr>
              <w:t xml:space="preserve">Kontraktimet e projekteve pa buxhet dhe zgjatja e afatit të realizimit të tyre më gjatë sesa </w:t>
            </w:r>
            <w:proofErr w:type="spellStart"/>
            <w:r w:rsidRPr="00CB3A34">
              <w:rPr>
                <w:rFonts w:cstheme="minorHAnsi"/>
              </w:rPr>
              <w:t>ofertimi</w:t>
            </w:r>
            <w:proofErr w:type="spellEnd"/>
            <w:r w:rsidRPr="00CB3A34">
              <w:rPr>
                <w:rFonts w:cstheme="minorHAnsi"/>
              </w:rPr>
              <w:t>, janë identifikuar në këto raste, si në vijimi:</w:t>
            </w:r>
          </w:p>
          <w:p w14:paraId="0A08E471" w14:textId="77777777" w:rsidR="00CB3A34" w:rsidRPr="00CB3A34" w:rsidRDefault="00CB3A34" w:rsidP="00CB3A34">
            <w:pPr>
              <w:spacing w:after="0"/>
              <w:jc w:val="both"/>
              <w:rPr>
                <w:rFonts w:cstheme="minorHAnsi"/>
              </w:rPr>
            </w:pPr>
            <w:r w:rsidRPr="00CB3A34">
              <w:rPr>
                <w:rFonts w:cstheme="minorHAnsi"/>
              </w:rPr>
              <w:t>•</w:t>
            </w:r>
            <w:r w:rsidRPr="00CB3A34">
              <w:rPr>
                <w:rFonts w:cstheme="minorHAnsi"/>
              </w:rPr>
              <w:tab/>
              <w:t xml:space="preserve">Projekti “Ndërtimi i qendrës rinore dhe kulturore në Rahovec” ishte kontraktuar me 20.10.2023 në vlerë 2,982,585€, ndërsa fondet ishin </w:t>
            </w:r>
            <w:proofErr w:type="spellStart"/>
            <w:r w:rsidRPr="00CB3A34">
              <w:rPr>
                <w:rFonts w:cstheme="minorHAnsi"/>
              </w:rPr>
              <w:t>buxhetuar</w:t>
            </w:r>
            <w:proofErr w:type="spellEnd"/>
            <w:r w:rsidRPr="00CB3A34">
              <w:rPr>
                <w:rFonts w:cstheme="minorHAnsi"/>
              </w:rPr>
              <w:t xml:space="preserve"> në PIP për tri vite në vlerë 800,351€ (për vitin 2023 në vlerë 150,351€, për vitin 2024 në vlerë 150,000€ dhe për vitin 2025 në vlerë 500,000€). Përveç kësaj, kemi vërejtur se edhe para inicimit të procesit të prokurimit nuk ishte bërë zotimi fondeve të vitit aktual. Për më tepër, ishte udhëhequr procedurë e prokurimit më kriterin e dhënies së kontratës çmimi ekonomikisht më i favorshëm me </w:t>
            </w:r>
            <w:proofErr w:type="spellStart"/>
            <w:r w:rsidRPr="00CB3A34">
              <w:rPr>
                <w:rFonts w:cstheme="minorHAnsi"/>
              </w:rPr>
              <w:t>poentim</w:t>
            </w:r>
            <w:proofErr w:type="spellEnd"/>
            <w:r w:rsidRPr="00CB3A34">
              <w:rPr>
                <w:rFonts w:cstheme="minorHAnsi"/>
              </w:rPr>
              <w:t xml:space="preserve"> </w:t>
            </w:r>
            <w:r w:rsidRPr="00CB3A34">
              <w:rPr>
                <w:rFonts w:cstheme="minorHAnsi"/>
              </w:rPr>
              <w:lastRenderedPageBreak/>
              <w:t>20% për planin dinamik, ku operatori ekonomik fitues në planin/afatin e realizimit të projektit e kishte paraparë për 450 ditë, ndërsa në kushtet e veçanta të kontratës komuna e kishte zgjatur afatin për realizimin e projektit në 960 ditë.</w:t>
            </w:r>
          </w:p>
          <w:p w14:paraId="1230855E" w14:textId="77777777" w:rsidR="00CB3A34" w:rsidRPr="00CB3A34" w:rsidRDefault="00CB3A34" w:rsidP="00CB3A34">
            <w:pPr>
              <w:spacing w:after="0"/>
              <w:jc w:val="both"/>
              <w:rPr>
                <w:rFonts w:cstheme="minorHAnsi"/>
              </w:rPr>
            </w:pPr>
            <w:r w:rsidRPr="00CB3A34">
              <w:rPr>
                <w:rFonts w:cstheme="minorHAnsi"/>
              </w:rPr>
              <w:t>•</w:t>
            </w:r>
            <w:r w:rsidRPr="00CB3A34">
              <w:rPr>
                <w:rFonts w:cstheme="minorHAnsi"/>
              </w:rPr>
              <w:tab/>
              <w:t xml:space="preserve">Projekti “Ndërtimi i rrugëve në hapësirat për biznes dhe turizëm” e kontraktuar me 05.10.2023 në vlerë 1 ,894,482€, nuk ishte i planifikuar në ligjin për ndarje buxhetore dhe as në tabelën 4.2 financimi i investimeve kapitale. Për me tepër, ishte udhëhequr procedurë e prokurimit më kriterin e dhënies se kontratës çmimi ekonomikisht më i favorshëm me </w:t>
            </w:r>
            <w:proofErr w:type="spellStart"/>
            <w:r w:rsidRPr="00CB3A34">
              <w:rPr>
                <w:rFonts w:cstheme="minorHAnsi"/>
              </w:rPr>
              <w:t>poentim</w:t>
            </w:r>
            <w:proofErr w:type="spellEnd"/>
            <w:r w:rsidRPr="00CB3A34">
              <w:rPr>
                <w:rFonts w:cstheme="minorHAnsi"/>
              </w:rPr>
              <w:t xml:space="preserve"> 20% për planin dinamik, ku operatori ekonomik fitues në planin/afatin e realizimit të projektit e kishte paraparë për 225 ditë dhe mbi këtë bazë është shpallur i përgjegjshëm, ndërsa në kushtet e veçanta të kontratës komuna e kishte zgjatur afatin në 480 ditë.</w:t>
            </w:r>
          </w:p>
          <w:p w14:paraId="6A79111B" w14:textId="77777777" w:rsidR="00CB3A34" w:rsidRPr="00CB3A34" w:rsidRDefault="00CB3A34" w:rsidP="00CB3A34">
            <w:pPr>
              <w:spacing w:after="0"/>
              <w:jc w:val="both"/>
              <w:rPr>
                <w:rFonts w:cstheme="minorHAnsi"/>
              </w:rPr>
            </w:pPr>
            <w:r w:rsidRPr="00CB3A34">
              <w:rPr>
                <w:rFonts w:cstheme="minorHAnsi"/>
              </w:rPr>
              <w:t>•</w:t>
            </w:r>
            <w:r w:rsidRPr="00CB3A34">
              <w:rPr>
                <w:rFonts w:cstheme="minorHAnsi"/>
              </w:rPr>
              <w:tab/>
              <w:t xml:space="preserve">Projekti “Ndërtimi i rrugëve lokale </w:t>
            </w:r>
            <w:proofErr w:type="spellStart"/>
            <w:r w:rsidRPr="00CB3A34">
              <w:rPr>
                <w:rFonts w:cstheme="minorHAnsi"/>
              </w:rPr>
              <w:t>lloti</w:t>
            </w:r>
            <w:proofErr w:type="spellEnd"/>
            <w:r w:rsidRPr="00CB3A34">
              <w:rPr>
                <w:rFonts w:cstheme="minorHAnsi"/>
              </w:rPr>
              <w:t xml:space="preserve"> 1” e kontraktuar me 01.11.2023 në vlerë 898,601€. Kemi vërejtur se para inicimit të procesit të prokurimit nuk ishte bërë zotimi fondeve të vitit aktual, ishte</w:t>
            </w:r>
          </w:p>
          <w:p w14:paraId="41922E39" w14:textId="77777777" w:rsidR="00CB3A34" w:rsidRPr="00CB3A34" w:rsidRDefault="00CB3A34" w:rsidP="00CB3A34">
            <w:pPr>
              <w:spacing w:after="0"/>
              <w:jc w:val="both"/>
              <w:rPr>
                <w:rFonts w:cstheme="minorHAnsi"/>
              </w:rPr>
            </w:pPr>
            <w:r w:rsidRPr="00CB3A34">
              <w:rPr>
                <w:rFonts w:cstheme="minorHAnsi"/>
              </w:rPr>
              <w:t xml:space="preserve"> </w:t>
            </w:r>
          </w:p>
          <w:p w14:paraId="20040C63" w14:textId="77777777" w:rsidR="00CB3A34" w:rsidRPr="00CB3A34" w:rsidRDefault="00CB3A34" w:rsidP="00CB3A34">
            <w:pPr>
              <w:spacing w:after="0"/>
              <w:jc w:val="both"/>
              <w:rPr>
                <w:rFonts w:cstheme="minorHAnsi"/>
              </w:rPr>
            </w:pPr>
            <w:r w:rsidRPr="00CB3A34">
              <w:rPr>
                <w:rFonts w:cstheme="minorHAnsi"/>
              </w:rPr>
              <w:t xml:space="preserve">udhëhequr procedurë e prokurimit më kriterin e dhënies së kontratës çmimi ekonomikisht më i favorshëm me </w:t>
            </w:r>
            <w:proofErr w:type="spellStart"/>
            <w:r w:rsidRPr="00CB3A34">
              <w:rPr>
                <w:rFonts w:cstheme="minorHAnsi"/>
              </w:rPr>
              <w:t>poentim</w:t>
            </w:r>
            <w:proofErr w:type="spellEnd"/>
            <w:r w:rsidRPr="00CB3A34">
              <w:rPr>
                <w:rFonts w:cstheme="minorHAnsi"/>
              </w:rPr>
              <w:t xml:space="preserve"> 20% për planin dinamik, ku operatori ekonomik fitues në planin/afatin e realizimit të projektit e kishte paraparë për 225 ditë, ndërsa në kushtet e veçanta të kontratës komuna e kishte zgjatur afatin në 480 ditë.</w:t>
            </w:r>
          </w:p>
          <w:p w14:paraId="565BF6F9" w14:textId="77777777" w:rsidR="00CB3A34" w:rsidRPr="00CB3A34" w:rsidRDefault="00CB3A34" w:rsidP="00CB3A34">
            <w:pPr>
              <w:spacing w:after="0"/>
              <w:jc w:val="both"/>
              <w:rPr>
                <w:rFonts w:cstheme="minorHAnsi"/>
              </w:rPr>
            </w:pPr>
            <w:r w:rsidRPr="00CB3A34">
              <w:rPr>
                <w:rFonts w:cstheme="minorHAnsi"/>
              </w:rPr>
              <w:t>•</w:t>
            </w:r>
            <w:r w:rsidRPr="00CB3A34">
              <w:rPr>
                <w:rFonts w:cstheme="minorHAnsi"/>
              </w:rPr>
              <w:tab/>
              <w:t xml:space="preserve">Projekti “Ndërtimi i shtegut të ecjes dhe turizmit në Rahovec, </w:t>
            </w:r>
            <w:proofErr w:type="spellStart"/>
            <w:r w:rsidRPr="00CB3A34">
              <w:rPr>
                <w:rFonts w:cstheme="minorHAnsi"/>
              </w:rPr>
              <w:t>Drenoc</w:t>
            </w:r>
            <w:proofErr w:type="spellEnd"/>
            <w:r w:rsidRPr="00CB3A34">
              <w:rPr>
                <w:rFonts w:cstheme="minorHAnsi"/>
              </w:rPr>
              <w:t xml:space="preserve">, </w:t>
            </w:r>
            <w:proofErr w:type="spellStart"/>
            <w:r w:rsidRPr="00CB3A34">
              <w:rPr>
                <w:rFonts w:cstheme="minorHAnsi"/>
              </w:rPr>
              <w:t>Polluzhë</w:t>
            </w:r>
            <w:proofErr w:type="spellEnd"/>
            <w:r w:rsidRPr="00CB3A34">
              <w:rPr>
                <w:rFonts w:cstheme="minorHAnsi"/>
              </w:rPr>
              <w:t xml:space="preserve">, </w:t>
            </w:r>
            <w:proofErr w:type="spellStart"/>
            <w:r w:rsidRPr="00CB3A34">
              <w:rPr>
                <w:rFonts w:cstheme="minorHAnsi"/>
              </w:rPr>
              <w:t>Xerxë-Opterushë</w:t>
            </w:r>
            <w:proofErr w:type="spellEnd"/>
            <w:r w:rsidRPr="00CB3A34">
              <w:rPr>
                <w:rFonts w:cstheme="minorHAnsi"/>
              </w:rPr>
              <w:t xml:space="preserve">” e kontraktuar me. 23.11.2023 në vlerë 119,595€, ndërsa fondet e </w:t>
            </w:r>
            <w:proofErr w:type="spellStart"/>
            <w:r w:rsidRPr="00CB3A34">
              <w:rPr>
                <w:rFonts w:cstheme="minorHAnsi"/>
              </w:rPr>
              <w:t>buxhetuar</w:t>
            </w:r>
            <w:proofErr w:type="spellEnd"/>
            <w:r w:rsidRPr="00CB3A34">
              <w:rPr>
                <w:rFonts w:cstheme="minorHAnsi"/>
              </w:rPr>
              <w:t xml:space="preserve"> në PIP për tri vite ishin në vlerë 45,000€ (për vitin 2023 në vlerë 25,000€, dhe për 2024 në vlerë 20,000€).Për me tepër, para inicimit të procesit të prokurimit nuk ishte bërë zotimi i plotë i fondeve të vitit aktual.</w:t>
            </w:r>
          </w:p>
          <w:p w14:paraId="333CF0EF" w14:textId="211E9376" w:rsidR="00930B7C" w:rsidRPr="00EC6E6F" w:rsidRDefault="00CB3A34" w:rsidP="00CB3A34">
            <w:pPr>
              <w:spacing w:after="0"/>
              <w:jc w:val="both"/>
              <w:rPr>
                <w:rFonts w:cstheme="minorHAnsi"/>
              </w:rPr>
            </w:pPr>
            <w:r w:rsidRPr="00CB3A34">
              <w:rPr>
                <w:rFonts w:cstheme="minorHAnsi"/>
              </w:rPr>
              <w:t xml:space="preserve">Kjo ka ndodhur për shkak të analizave të mangëta dhe vlerësimeve jo reale të kostove financiare të projekteve me rastin e </w:t>
            </w:r>
            <w:proofErr w:type="spellStart"/>
            <w:r w:rsidRPr="00CB3A34">
              <w:rPr>
                <w:rFonts w:cstheme="minorHAnsi"/>
              </w:rPr>
              <w:t>buxhetimit</w:t>
            </w:r>
            <w:proofErr w:type="spellEnd"/>
            <w:r w:rsidRPr="00CB3A34">
              <w:rPr>
                <w:rFonts w:cstheme="minorHAnsi"/>
              </w:rPr>
              <w:t xml:space="preserve"> të tyre, hyrja në obligime për projekte të paplanifikuar, si dhe zgjatja e afatit të implementimit të kontratave jo përputhje me kërkesat </w:t>
            </w:r>
            <w:proofErr w:type="spellStart"/>
            <w:r w:rsidRPr="00CB3A34">
              <w:rPr>
                <w:rFonts w:cstheme="minorHAnsi"/>
              </w:rPr>
              <w:t>rregullative</w:t>
            </w:r>
            <w:proofErr w:type="spellEnd"/>
            <w:r w:rsidRPr="00CB3A34">
              <w:rPr>
                <w:rFonts w:cstheme="minorHAnsi"/>
              </w:rPr>
              <w:t>.</w:t>
            </w:r>
          </w:p>
        </w:tc>
        <w:tc>
          <w:tcPr>
            <w:tcW w:w="2070" w:type="dxa"/>
          </w:tcPr>
          <w:p w14:paraId="43F3CFE0" w14:textId="5A26049F" w:rsidR="00930B7C" w:rsidRPr="00EC6E6F" w:rsidRDefault="00CB3A34" w:rsidP="00930B7C">
            <w:pPr>
              <w:spacing w:after="0"/>
              <w:jc w:val="both"/>
              <w:rPr>
                <w:rFonts w:cstheme="minorHAnsi"/>
              </w:rPr>
            </w:pPr>
            <w:r w:rsidRPr="00CB3A34">
              <w:rPr>
                <w:rFonts w:cstheme="minorHAnsi"/>
              </w:rPr>
              <w:lastRenderedPageBreak/>
              <w:t xml:space="preserve">Kryetari duhet të sigurojë se vlerat e kontratave publike të lidhura (nënshkruara) për projektet kapitale të janë përputhje me shumat e aprovuara me ligjin mbi ndarjet buxhetore për vitin fiskal dhe për dy (2) vitet në vijim. Po ashtu, të ndërmarr masat e duhura për projektet e kontraktuara që, afati i të jetë sipas </w:t>
            </w:r>
            <w:proofErr w:type="spellStart"/>
            <w:r w:rsidRPr="00CB3A34">
              <w:rPr>
                <w:rFonts w:cstheme="minorHAnsi"/>
              </w:rPr>
              <w:t>ofertimit</w:t>
            </w:r>
            <w:proofErr w:type="spellEnd"/>
            <w:r w:rsidRPr="00CB3A34">
              <w:rPr>
                <w:rFonts w:cstheme="minorHAnsi"/>
              </w:rPr>
              <w:t xml:space="preserve"> për vlerësim të parapara në dosjen e tenderit.</w:t>
            </w:r>
          </w:p>
        </w:tc>
        <w:tc>
          <w:tcPr>
            <w:tcW w:w="2250" w:type="dxa"/>
          </w:tcPr>
          <w:p w14:paraId="7B7A900D" w14:textId="20F7375B" w:rsidR="00930B7C" w:rsidRPr="00EC6E6F" w:rsidRDefault="00D84E47" w:rsidP="00930B7C">
            <w:pPr>
              <w:spacing w:after="0"/>
              <w:jc w:val="center"/>
              <w:rPr>
                <w:rFonts w:cstheme="minorHAnsi"/>
              </w:rPr>
            </w:pPr>
            <w:proofErr w:type="spellStart"/>
            <w:r>
              <w:rPr>
                <w:rFonts w:cstheme="minorHAnsi"/>
              </w:rPr>
              <w:t>Konsiderojm</w:t>
            </w:r>
            <w:proofErr w:type="spellEnd"/>
            <w:r>
              <w:rPr>
                <w:rFonts w:cstheme="minorHAnsi"/>
              </w:rPr>
              <w:t xml:space="preserve"> se rekomandimi tek </w:t>
            </w:r>
            <w:proofErr w:type="spellStart"/>
            <w:r>
              <w:rPr>
                <w:rFonts w:cstheme="minorHAnsi"/>
              </w:rPr>
              <w:t>qeshtja</w:t>
            </w:r>
            <w:proofErr w:type="spellEnd"/>
            <w:r>
              <w:rPr>
                <w:rFonts w:cstheme="minorHAnsi"/>
              </w:rPr>
              <w:t xml:space="preserve"> A4, do të </w:t>
            </w:r>
            <w:proofErr w:type="spellStart"/>
            <w:r>
              <w:rPr>
                <w:rFonts w:cstheme="minorHAnsi"/>
              </w:rPr>
              <w:t>zbatohët</w:t>
            </w:r>
            <w:proofErr w:type="spellEnd"/>
            <w:r>
              <w:rPr>
                <w:rFonts w:cstheme="minorHAnsi"/>
              </w:rPr>
              <w:t xml:space="preserve"> gjatë vitit 2024,se të gjitha kontratat do të mbulohen financiarisht me buxhetin e vitit 2025, si dhe me projeksionet buxhetore 2026 dhe 2027.</w:t>
            </w:r>
          </w:p>
        </w:tc>
        <w:tc>
          <w:tcPr>
            <w:tcW w:w="1080" w:type="dxa"/>
          </w:tcPr>
          <w:p w14:paraId="50D5BE25" w14:textId="263A2C59" w:rsidR="00930B7C" w:rsidRPr="00EC6E6F" w:rsidRDefault="00930B7C" w:rsidP="00930B7C">
            <w:pPr>
              <w:jc w:val="center"/>
              <w:rPr>
                <w:rFonts w:cstheme="minorHAnsi"/>
              </w:rPr>
            </w:pPr>
            <w:r>
              <w:rPr>
                <w:rFonts w:cstheme="minorHAnsi"/>
              </w:rPr>
              <w:t>Drejtoria për Buxhet dhe Financa dhe Zyra e Prokurimit.</w:t>
            </w:r>
          </w:p>
          <w:p w14:paraId="3444C561" w14:textId="77777777" w:rsidR="00930B7C" w:rsidRPr="00EC6E6F" w:rsidRDefault="00930B7C" w:rsidP="00930B7C">
            <w:pPr>
              <w:spacing w:after="0"/>
              <w:jc w:val="center"/>
              <w:rPr>
                <w:rFonts w:cstheme="minorHAnsi"/>
              </w:rPr>
            </w:pPr>
          </w:p>
        </w:tc>
        <w:tc>
          <w:tcPr>
            <w:tcW w:w="810" w:type="dxa"/>
          </w:tcPr>
          <w:p w14:paraId="4D54F49A" w14:textId="4D43F70D" w:rsidR="00930B7C" w:rsidRPr="00912F16" w:rsidRDefault="00930B7C" w:rsidP="00930B7C">
            <w:pPr>
              <w:spacing w:after="0"/>
              <w:rPr>
                <w:sz w:val="20"/>
                <w:szCs w:val="20"/>
              </w:rPr>
            </w:pPr>
            <w:r>
              <w:rPr>
                <w:sz w:val="20"/>
                <w:szCs w:val="20"/>
              </w:rPr>
              <w:t>202</w:t>
            </w:r>
            <w:r w:rsidR="00D84E47">
              <w:rPr>
                <w:sz w:val="20"/>
                <w:szCs w:val="20"/>
              </w:rPr>
              <w:t>4</w:t>
            </w:r>
          </w:p>
        </w:tc>
        <w:tc>
          <w:tcPr>
            <w:tcW w:w="905" w:type="dxa"/>
          </w:tcPr>
          <w:p w14:paraId="4F389408" w14:textId="77777777" w:rsidR="00930B7C" w:rsidRPr="00344F9F" w:rsidRDefault="00930B7C" w:rsidP="00930B7C">
            <w:pPr>
              <w:spacing w:after="0"/>
              <w:rPr>
                <w:rFonts w:ascii="Book Antiqua" w:hAnsi="Book Antiqua" w:cs="Book Antiqua"/>
                <w:color w:val="000000"/>
                <w:sz w:val="20"/>
                <w:szCs w:val="20"/>
                <w:lang w:val="sr-Latn-RS"/>
              </w:rPr>
            </w:pPr>
          </w:p>
        </w:tc>
      </w:tr>
      <w:tr w:rsidR="00930B7C" w:rsidRPr="00912F16" w14:paraId="2640FD1F" w14:textId="77777777" w:rsidTr="007F36DB">
        <w:trPr>
          <w:trHeight w:val="4"/>
          <w:jc w:val="center"/>
        </w:trPr>
        <w:tc>
          <w:tcPr>
            <w:tcW w:w="535" w:type="dxa"/>
          </w:tcPr>
          <w:p w14:paraId="6B17D168" w14:textId="6F418C1B" w:rsidR="00930B7C" w:rsidRDefault="00930B7C" w:rsidP="00930B7C">
            <w:pPr>
              <w:spacing w:after="0"/>
            </w:pPr>
            <w:r>
              <w:lastRenderedPageBreak/>
              <w:t>5.</w:t>
            </w:r>
          </w:p>
          <w:p w14:paraId="0BC9829D" w14:textId="77777777" w:rsidR="00930B7C" w:rsidRDefault="00930B7C" w:rsidP="00930B7C">
            <w:pPr>
              <w:spacing w:after="0"/>
              <w:rPr>
                <w:b/>
              </w:rPr>
            </w:pPr>
          </w:p>
          <w:p w14:paraId="4CA47004" w14:textId="77777777" w:rsidR="00930B7C" w:rsidRDefault="00930B7C" w:rsidP="00930B7C">
            <w:pPr>
              <w:spacing w:after="0"/>
              <w:rPr>
                <w:b/>
              </w:rPr>
            </w:pPr>
          </w:p>
          <w:p w14:paraId="5B6A1F05" w14:textId="77777777" w:rsidR="00930B7C" w:rsidRDefault="00930B7C" w:rsidP="00930B7C">
            <w:pPr>
              <w:spacing w:after="0"/>
              <w:rPr>
                <w:b/>
              </w:rPr>
            </w:pPr>
          </w:p>
          <w:p w14:paraId="1134ED4B" w14:textId="77777777" w:rsidR="00930B7C" w:rsidRDefault="00930B7C" w:rsidP="00930B7C">
            <w:pPr>
              <w:spacing w:after="0"/>
              <w:rPr>
                <w:b/>
              </w:rPr>
            </w:pPr>
          </w:p>
          <w:p w14:paraId="36800DFE" w14:textId="77777777" w:rsidR="00930B7C" w:rsidRDefault="00930B7C" w:rsidP="00930B7C">
            <w:pPr>
              <w:spacing w:after="0"/>
              <w:rPr>
                <w:b/>
              </w:rPr>
            </w:pPr>
          </w:p>
          <w:p w14:paraId="69A5A881" w14:textId="77777777" w:rsidR="00930B7C" w:rsidRDefault="00930B7C" w:rsidP="00930B7C">
            <w:pPr>
              <w:spacing w:after="0"/>
              <w:rPr>
                <w:b/>
              </w:rPr>
            </w:pPr>
          </w:p>
          <w:p w14:paraId="133E57E6" w14:textId="77777777" w:rsidR="00930B7C" w:rsidRDefault="00930B7C" w:rsidP="00930B7C">
            <w:pPr>
              <w:spacing w:after="0"/>
              <w:rPr>
                <w:b/>
              </w:rPr>
            </w:pPr>
          </w:p>
          <w:p w14:paraId="59BECFC5" w14:textId="77777777" w:rsidR="00930B7C" w:rsidRDefault="00930B7C" w:rsidP="00930B7C">
            <w:pPr>
              <w:spacing w:after="0"/>
              <w:rPr>
                <w:b/>
              </w:rPr>
            </w:pPr>
          </w:p>
          <w:p w14:paraId="66F6141D" w14:textId="4A9722FE" w:rsidR="00930B7C" w:rsidRPr="001469A2" w:rsidRDefault="00930B7C" w:rsidP="00930B7C">
            <w:pPr>
              <w:spacing w:after="0"/>
              <w:rPr>
                <w:b/>
              </w:rPr>
            </w:pPr>
          </w:p>
        </w:tc>
        <w:tc>
          <w:tcPr>
            <w:tcW w:w="1260" w:type="dxa"/>
          </w:tcPr>
          <w:p w14:paraId="096E9134" w14:textId="1206EDFE" w:rsidR="00930B7C" w:rsidRPr="00737B8C" w:rsidRDefault="00CB3A34" w:rsidP="00930B7C">
            <w:pPr>
              <w:spacing w:after="0"/>
              <w:rPr>
                <w:sz w:val="20"/>
                <w:szCs w:val="20"/>
              </w:rPr>
            </w:pPr>
            <w:r w:rsidRPr="00CB3A34">
              <w:rPr>
                <w:b/>
                <w:sz w:val="20"/>
                <w:szCs w:val="20"/>
              </w:rPr>
              <w:t>Çështja A5</w:t>
            </w:r>
            <w:r w:rsidRPr="00CB3A34">
              <w:rPr>
                <w:sz w:val="20"/>
                <w:szCs w:val="20"/>
              </w:rPr>
              <w:t xml:space="preserve"> - Pranimi i furnizimit të autoambulancave jo në pajtim më dosjen e tenderit</w:t>
            </w:r>
          </w:p>
        </w:tc>
        <w:tc>
          <w:tcPr>
            <w:tcW w:w="6390" w:type="dxa"/>
          </w:tcPr>
          <w:p w14:paraId="599B929C" w14:textId="77777777" w:rsidR="00CB3A34" w:rsidRPr="00CB3A34" w:rsidRDefault="00CB3A34" w:rsidP="00CB3A34">
            <w:pPr>
              <w:spacing w:after="0"/>
              <w:jc w:val="both"/>
              <w:rPr>
                <w:rFonts w:cstheme="minorHAnsi"/>
              </w:rPr>
            </w:pPr>
            <w:r w:rsidRPr="00CB3A34">
              <w:rPr>
                <w:rFonts w:cstheme="minorHAnsi"/>
              </w:rPr>
              <w:t xml:space="preserve">Fleta e të dhënave të dosjes së tenderit (FTD) në piken 2.1 </w:t>
            </w:r>
            <w:proofErr w:type="spellStart"/>
            <w:r w:rsidRPr="00CB3A34">
              <w:rPr>
                <w:rFonts w:cstheme="minorHAnsi"/>
              </w:rPr>
              <w:t>taksativisht</w:t>
            </w:r>
            <w:proofErr w:type="spellEnd"/>
            <w:r w:rsidRPr="00CB3A34">
              <w:rPr>
                <w:rFonts w:cstheme="minorHAnsi"/>
              </w:rPr>
              <w:t xml:space="preserve"> parasheh, blerjen e dy autoambulancave sipas specifikimeve teknike të detyrueshme, si dhe pika 4.1 Variantet nuk janë të autorizuara. UA (MI) 02/2018 për përcaktimin e kushteve dhe procedurave për </w:t>
            </w:r>
            <w:proofErr w:type="spellStart"/>
            <w:r w:rsidRPr="00CB3A34">
              <w:rPr>
                <w:rFonts w:cstheme="minorHAnsi"/>
              </w:rPr>
              <w:t>homologim</w:t>
            </w:r>
            <w:proofErr w:type="spellEnd"/>
            <w:r w:rsidRPr="00CB3A34">
              <w:rPr>
                <w:rFonts w:cstheme="minorHAnsi"/>
              </w:rPr>
              <w:t xml:space="preserve"> të mjeteve rrugore, nenin 2.1.1 përcakton se; automjetet motorike të projektuara dhe ndërtuara kryesisht për transportimin e personave dhe bagazheve të tyre dhe të cilat përveç ulëses së vozitësit nuk kanë më shumë sesa 8 ulëse – automjete të kategorisë M1, ndërlidhur me këtë, nenin 2.1.3 përcakton se; automjetet motorike të projektuara dhe ndërtuara kryesisht për transportin e mallrave, masa maksimale e të cilave nuk kalon</w:t>
            </w:r>
          </w:p>
          <w:p w14:paraId="40546242" w14:textId="77777777" w:rsidR="00CB3A34" w:rsidRPr="00CB3A34" w:rsidRDefault="00CB3A34" w:rsidP="00CB3A34">
            <w:pPr>
              <w:spacing w:after="0"/>
              <w:jc w:val="both"/>
              <w:rPr>
                <w:rFonts w:cstheme="minorHAnsi"/>
              </w:rPr>
            </w:pPr>
            <w:r w:rsidRPr="00CB3A34">
              <w:rPr>
                <w:rFonts w:cstheme="minorHAnsi"/>
              </w:rPr>
              <w:t>3.5 tonë – automjete të kategorisë N1, dhe neni 18 paragrafi 1.5 parasheh pëlqimi për regjistrim.</w:t>
            </w:r>
          </w:p>
          <w:p w14:paraId="004A53EC" w14:textId="77777777" w:rsidR="00CB3A34" w:rsidRPr="00CB3A34" w:rsidRDefault="00CB3A34" w:rsidP="00CB3A34">
            <w:pPr>
              <w:spacing w:after="0"/>
              <w:jc w:val="both"/>
              <w:rPr>
                <w:rFonts w:cstheme="minorHAnsi"/>
              </w:rPr>
            </w:pPr>
          </w:p>
          <w:p w14:paraId="3E824553" w14:textId="77777777" w:rsidR="00CB3A34" w:rsidRPr="00CB3A34" w:rsidRDefault="00CB3A34" w:rsidP="00CB3A34">
            <w:pPr>
              <w:spacing w:after="0"/>
              <w:jc w:val="both"/>
              <w:rPr>
                <w:rFonts w:cstheme="minorHAnsi"/>
              </w:rPr>
            </w:pPr>
            <w:r w:rsidRPr="00CB3A34">
              <w:rPr>
                <w:rFonts w:cstheme="minorHAnsi"/>
              </w:rPr>
              <w:t>Komuna ishte furnizuar me dy autoambulanca në vlerë prej 109,998€ të</w:t>
            </w:r>
          </w:p>
          <w:p w14:paraId="26AA4AA9" w14:textId="77777777" w:rsidR="00CB3A34" w:rsidRPr="00CB3A34" w:rsidRDefault="00CB3A34" w:rsidP="00CB3A34">
            <w:pPr>
              <w:spacing w:after="0"/>
              <w:jc w:val="both"/>
              <w:rPr>
                <w:rFonts w:cstheme="minorHAnsi"/>
              </w:rPr>
            </w:pPr>
            <w:r w:rsidRPr="00CB3A34">
              <w:rPr>
                <w:rFonts w:cstheme="minorHAnsi"/>
              </w:rPr>
              <w:t xml:space="preserve"> </w:t>
            </w:r>
          </w:p>
          <w:p w14:paraId="6DFEFE86" w14:textId="77777777" w:rsidR="00CB3A34" w:rsidRPr="00CB3A34" w:rsidRDefault="00CB3A34" w:rsidP="00CB3A34">
            <w:pPr>
              <w:spacing w:after="0"/>
              <w:jc w:val="both"/>
              <w:rPr>
                <w:rFonts w:cstheme="minorHAnsi"/>
              </w:rPr>
            </w:pPr>
            <w:r w:rsidRPr="00CB3A34">
              <w:rPr>
                <w:rFonts w:cstheme="minorHAnsi"/>
              </w:rPr>
              <w:t xml:space="preserve">kategorisë N1. Pas verifikimit të dosjes së tenderit, kemi vërejtur që kërkesa ishte për dy autoambulanca të kategorisë M1, sipas specifikimeve teknike të detyrueshme në dosjen e tenderit. Nga analiza e mëtejshëm e dokumentacionit, kemi konstatuar se është bërë ndryshim ose modifikim i autoambulancave nga kategoria e kërkuar N1 në M1 në Qendrën e Automjeteve të Kosovës-EUROLAB, certifikata e </w:t>
            </w:r>
            <w:proofErr w:type="spellStart"/>
            <w:r w:rsidRPr="00CB3A34">
              <w:rPr>
                <w:rFonts w:cstheme="minorHAnsi"/>
              </w:rPr>
              <w:t>konformitetit</w:t>
            </w:r>
            <w:proofErr w:type="spellEnd"/>
            <w:r w:rsidRPr="00CB3A34">
              <w:rPr>
                <w:rFonts w:cstheme="minorHAnsi"/>
              </w:rPr>
              <w:t xml:space="preserve"> ishte për autoambulancat në kategorinë N1 (automjete motorike të projektuara dhe ndërtuara kryesisht për transportin e mallrave, masa maksimale e të cilave nuk kalon 3.5 tonë), por jo për autoambulancat për transportimin e personave dhe bagazheve – automjete të kategorisë M1.</w:t>
            </w:r>
          </w:p>
          <w:p w14:paraId="6A773F4E" w14:textId="77777777" w:rsidR="00CB3A34" w:rsidRPr="00CB3A34" w:rsidRDefault="00CB3A34" w:rsidP="00CB3A34">
            <w:pPr>
              <w:spacing w:after="0"/>
              <w:jc w:val="both"/>
              <w:rPr>
                <w:rFonts w:cstheme="minorHAnsi"/>
              </w:rPr>
            </w:pPr>
          </w:p>
          <w:p w14:paraId="7FA8B423" w14:textId="7BC49170" w:rsidR="00930B7C" w:rsidRPr="00EC6E6F" w:rsidRDefault="00CB3A34" w:rsidP="00CB3A34">
            <w:pPr>
              <w:spacing w:after="0"/>
              <w:jc w:val="both"/>
              <w:rPr>
                <w:rFonts w:cstheme="minorHAnsi"/>
              </w:rPr>
            </w:pPr>
            <w:r w:rsidRPr="00CB3A34">
              <w:rPr>
                <w:rFonts w:cstheme="minorHAnsi"/>
              </w:rPr>
              <w:t>Kjo situatë ka ndodhur si rezultat i mosfunksionimit të duhur të kontrolleve për të siguruar që furnizimi të jetë sipas kërkesave të kontratës dhe dosjes së tenderit.</w:t>
            </w:r>
          </w:p>
        </w:tc>
        <w:tc>
          <w:tcPr>
            <w:tcW w:w="2070" w:type="dxa"/>
          </w:tcPr>
          <w:p w14:paraId="0613A10C" w14:textId="6E225C2E" w:rsidR="00930B7C" w:rsidRPr="00EC6E6F" w:rsidRDefault="00CB3A34" w:rsidP="00930B7C">
            <w:pPr>
              <w:spacing w:after="0"/>
              <w:jc w:val="both"/>
              <w:rPr>
                <w:rFonts w:cstheme="minorHAnsi"/>
              </w:rPr>
            </w:pPr>
            <w:r w:rsidRPr="00CB3A34">
              <w:rPr>
                <w:rFonts w:cstheme="minorHAnsi"/>
              </w:rPr>
              <w:t>Kryetari duhet të sigurojë që pranimi i furnizimeve të bëhet në sipas kushteve të dosjes së tenderit dhe kontratës.</w:t>
            </w:r>
          </w:p>
        </w:tc>
        <w:tc>
          <w:tcPr>
            <w:tcW w:w="2250" w:type="dxa"/>
          </w:tcPr>
          <w:p w14:paraId="3A16066D" w14:textId="62FC6353" w:rsidR="00930B7C" w:rsidRPr="00EC6E6F" w:rsidRDefault="006B13D8" w:rsidP="00930B7C">
            <w:pPr>
              <w:spacing w:after="0"/>
              <w:jc w:val="center"/>
              <w:rPr>
                <w:rFonts w:cstheme="minorHAnsi"/>
              </w:rPr>
            </w:pPr>
            <w:r>
              <w:rPr>
                <w:rFonts w:cstheme="minorHAnsi"/>
              </w:rPr>
              <w:t xml:space="preserve">Ky rekomandim do të </w:t>
            </w:r>
            <w:proofErr w:type="spellStart"/>
            <w:r>
              <w:rPr>
                <w:rFonts w:cstheme="minorHAnsi"/>
              </w:rPr>
              <w:t>zbatohët</w:t>
            </w:r>
            <w:proofErr w:type="spellEnd"/>
            <w:r>
              <w:rPr>
                <w:rFonts w:cstheme="minorHAnsi"/>
              </w:rPr>
              <w:t xml:space="preserve"> </w:t>
            </w:r>
            <w:proofErr w:type="spellStart"/>
            <w:r>
              <w:rPr>
                <w:rFonts w:cstheme="minorHAnsi"/>
              </w:rPr>
              <w:t>plotësishtë</w:t>
            </w:r>
            <w:proofErr w:type="spellEnd"/>
            <w:r>
              <w:rPr>
                <w:rFonts w:cstheme="minorHAnsi"/>
              </w:rPr>
              <w:t xml:space="preserve"> gjatë vitit 2024.</w:t>
            </w:r>
          </w:p>
        </w:tc>
        <w:tc>
          <w:tcPr>
            <w:tcW w:w="1080" w:type="dxa"/>
          </w:tcPr>
          <w:p w14:paraId="38AC75CF" w14:textId="0243285F" w:rsidR="00930B7C" w:rsidRPr="00EC6E6F" w:rsidRDefault="009564CD" w:rsidP="00930B7C">
            <w:pPr>
              <w:spacing w:after="0"/>
              <w:jc w:val="center"/>
              <w:rPr>
                <w:rFonts w:cstheme="minorHAnsi"/>
              </w:rPr>
            </w:pPr>
            <w:r>
              <w:rPr>
                <w:rFonts w:cstheme="minorHAnsi"/>
              </w:rPr>
              <w:t>Drejtori</w:t>
            </w:r>
            <w:r w:rsidR="006B13D8">
              <w:rPr>
                <w:rFonts w:cstheme="minorHAnsi"/>
              </w:rPr>
              <w:t xml:space="preserve">a për </w:t>
            </w:r>
            <w:proofErr w:type="spellStart"/>
            <w:r w:rsidR="006B13D8">
              <w:rPr>
                <w:rFonts w:cstheme="minorHAnsi"/>
              </w:rPr>
              <w:t>shëndetsi</w:t>
            </w:r>
            <w:proofErr w:type="spellEnd"/>
            <w:r w:rsidR="006B13D8">
              <w:rPr>
                <w:rFonts w:cstheme="minorHAnsi"/>
              </w:rPr>
              <w:t xml:space="preserve"> dhe  Zyra e prokurimit</w:t>
            </w:r>
          </w:p>
        </w:tc>
        <w:tc>
          <w:tcPr>
            <w:tcW w:w="810" w:type="dxa"/>
          </w:tcPr>
          <w:p w14:paraId="4B306283" w14:textId="4985A029" w:rsidR="00930B7C" w:rsidRPr="00912F16" w:rsidRDefault="00930B7C" w:rsidP="00930B7C">
            <w:pPr>
              <w:spacing w:after="0"/>
              <w:rPr>
                <w:sz w:val="20"/>
                <w:szCs w:val="20"/>
              </w:rPr>
            </w:pPr>
          </w:p>
        </w:tc>
        <w:tc>
          <w:tcPr>
            <w:tcW w:w="905" w:type="dxa"/>
          </w:tcPr>
          <w:p w14:paraId="1A400D0A" w14:textId="77777777" w:rsidR="00930B7C" w:rsidRPr="00344F9F" w:rsidRDefault="00930B7C" w:rsidP="00930B7C">
            <w:pPr>
              <w:spacing w:after="0"/>
              <w:rPr>
                <w:rFonts w:ascii="Book Antiqua" w:hAnsi="Book Antiqua" w:cs="Book Antiqua"/>
                <w:color w:val="000000"/>
                <w:sz w:val="20"/>
                <w:szCs w:val="20"/>
                <w:lang w:val="sr-Latn-RS"/>
              </w:rPr>
            </w:pPr>
          </w:p>
        </w:tc>
      </w:tr>
      <w:tr w:rsidR="00930B7C" w:rsidRPr="00912F16" w14:paraId="4E18976A" w14:textId="77777777" w:rsidTr="007F36DB">
        <w:trPr>
          <w:trHeight w:val="4267"/>
          <w:jc w:val="center"/>
        </w:trPr>
        <w:tc>
          <w:tcPr>
            <w:tcW w:w="535" w:type="dxa"/>
          </w:tcPr>
          <w:p w14:paraId="263B427D" w14:textId="2BA2A36D" w:rsidR="00930B7C" w:rsidRDefault="00930B7C" w:rsidP="00930B7C">
            <w:pPr>
              <w:spacing w:after="0"/>
              <w:rPr>
                <w:b/>
              </w:rPr>
            </w:pPr>
            <w:r>
              <w:rPr>
                <w:b/>
              </w:rPr>
              <w:lastRenderedPageBreak/>
              <w:t>6.</w:t>
            </w:r>
          </w:p>
          <w:p w14:paraId="4A72800A" w14:textId="77777777" w:rsidR="00930B7C" w:rsidRDefault="00930B7C" w:rsidP="00930B7C">
            <w:pPr>
              <w:spacing w:after="0"/>
              <w:rPr>
                <w:b/>
              </w:rPr>
            </w:pPr>
          </w:p>
          <w:p w14:paraId="25A6D62D" w14:textId="77777777" w:rsidR="00930B7C" w:rsidRDefault="00930B7C" w:rsidP="00930B7C">
            <w:pPr>
              <w:spacing w:after="0"/>
              <w:rPr>
                <w:b/>
              </w:rPr>
            </w:pPr>
          </w:p>
          <w:p w14:paraId="0C734E53" w14:textId="77777777" w:rsidR="00930B7C" w:rsidRDefault="00930B7C" w:rsidP="00930B7C">
            <w:pPr>
              <w:spacing w:after="0"/>
              <w:rPr>
                <w:b/>
              </w:rPr>
            </w:pPr>
          </w:p>
          <w:p w14:paraId="248AA2B8" w14:textId="211171A8" w:rsidR="00930B7C" w:rsidRDefault="00930B7C" w:rsidP="00930B7C">
            <w:pPr>
              <w:spacing w:after="0"/>
              <w:rPr>
                <w:b/>
              </w:rPr>
            </w:pPr>
          </w:p>
          <w:p w14:paraId="7591226A" w14:textId="77777777" w:rsidR="00930B7C" w:rsidRDefault="00930B7C" w:rsidP="00930B7C">
            <w:pPr>
              <w:spacing w:after="0"/>
              <w:rPr>
                <w:b/>
              </w:rPr>
            </w:pPr>
          </w:p>
          <w:p w14:paraId="10850C59" w14:textId="19646996" w:rsidR="00930B7C" w:rsidRPr="001469A2" w:rsidRDefault="00930B7C" w:rsidP="00930B7C">
            <w:pPr>
              <w:spacing w:after="0"/>
              <w:rPr>
                <w:b/>
              </w:rPr>
            </w:pPr>
          </w:p>
        </w:tc>
        <w:tc>
          <w:tcPr>
            <w:tcW w:w="1260" w:type="dxa"/>
          </w:tcPr>
          <w:p w14:paraId="5B37729F" w14:textId="09B61BB0" w:rsidR="002B21AF" w:rsidRDefault="002B21AF" w:rsidP="00930B7C">
            <w:pPr>
              <w:spacing w:after="0"/>
              <w:rPr>
                <w:sz w:val="20"/>
                <w:szCs w:val="20"/>
              </w:rPr>
            </w:pPr>
          </w:p>
          <w:p w14:paraId="2A50E4F6" w14:textId="622A387D" w:rsidR="00930B7C" w:rsidRPr="002B21AF" w:rsidRDefault="002B21AF" w:rsidP="002B21AF">
            <w:pPr>
              <w:rPr>
                <w:sz w:val="20"/>
                <w:szCs w:val="20"/>
              </w:rPr>
            </w:pPr>
            <w:r w:rsidRPr="002B21AF">
              <w:rPr>
                <w:b/>
                <w:sz w:val="20"/>
                <w:szCs w:val="20"/>
              </w:rPr>
              <w:t>Çështja B1</w:t>
            </w:r>
            <w:r w:rsidRPr="002B21AF">
              <w:rPr>
                <w:sz w:val="20"/>
                <w:szCs w:val="20"/>
              </w:rPr>
              <w:t xml:space="preserve"> - Vonesa në realizimin e projekteve kapitale</w:t>
            </w:r>
          </w:p>
        </w:tc>
        <w:tc>
          <w:tcPr>
            <w:tcW w:w="6390" w:type="dxa"/>
          </w:tcPr>
          <w:p w14:paraId="7D2DA63C" w14:textId="77777777" w:rsidR="002B21AF" w:rsidRPr="002B21AF" w:rsidRDefault="002B21AF" w:rsidP="002B21AF">
            <w:pPr>
              <w:spacing w:after="0"/>
              <w:jc w:val="both"/>
              <w:rPr>
                <w:rFonts w:cstheme="minorHAnsi"/>
              </w:rPr>
            </w:pPr>
            <w:r w:rsidRPr="002B21AF">
              <w:rPr>
                <w:rFonts w:cstheme="minorHAnsi"/>
              </w:rPr>
              <w:t xml:space="preserve">Rregulla nr. 01/2022 për prokurim publik </w:t>
            </w:r>
            <w:proofErr w:type="spellStart"/>
            <w:r w:rsidRPr="002B21AF">
              <w:rPr>
                <w:rFonts w:cstheme="minorHAnsi"/>
              </w:rPr>
              <w:t>taksativisht</w:t>
            </w:r>
            <w:proofErr w:type="spellEnd"/>
            <w:r w:rsidRPr="002B21AF">
              <w:rPr>
                <w:rFonts w:cstheme="minorHAnsi"/>
              </w:rPr>
              <w:t xml:space="preserve"> në neni 70.23 pika b parashihet se menaxheri i kontratës duhet të sigurojë se operatori ekonomik kryen kontratën në përputhje me termat dhe kushtet e specifikuara në kontratë.</w:t>
            </w:r>
          </w:p>
          <w:p w14:paraId="5B4F3CDD" w14:textId="77777777" w:rsidR="002B21AF" w:rsidRPr="002B21AF" w:rsidRDefault="002B21AF" w:rsidP="002B21AF">
            <w:pPr>
              <w:spacing w:after="0"/>
              <w:jc w:val="both"/>
              <w:rPr>
                <w:rFonts w:cstheme="minorHAnsi"/>
              </w:rPr>
            </w:pPr>
          </w:p>
          <w:p w14:paraId="09DEC7E0" w14:textId="77777777" w:rsidR="002B21AF" w:rsidRPr="002B21AF" w:rsidRDefault="002B21AF" w:rsidP="002B21AF">
            <w:pPr>
              <w:spacing w:after="0"/>
              <w:jc w:val="both"/>
              <w:rPr>
                <w:rFonts w:cstheme="minorHAnsi"/>
              </w:rPr>
            </w:pPr>
            <w:r w:rsidRPr="002B21AF">
              <w:rPr>
                <w:rFonts w:cstheme="minorHAnsi"/>
              </w:rPr>
              <w:t>Gjatë testimeve kemi vërejtur se në nëntë (9) kontrata publike për punë nuk ishin realizuar sipas afatit kohor të përcaktuar me kontratë dhe as nuk ishin aplikuar penalet për vonesat, si:</w:t>
            </w:r>
          </w:p>
          <w:p w14:paraId="42A68AD5" w14:textId="77777777" w:rsidR="002B21AF" w:rsidRPr="002B21AF" w:rsidRDefault="002B21AF" w:rsidP="002B21AF">
            <w:pPr>
              <w:spacing w:after="0"/>
              <w:jc w:val="both"/>
              <w:rPr>
                <w:rFonts w:cstheme="minorHAnsi"/>
              </w:rPr>
            </w:pPr>
            <w:r w:rsidRPr="002B21AF">
              <w:rPr>
                <w:rFonts w:cstheme="minorHAnsi"/>
              </w:rPr>
              <w:t>•</w:t>
            </w:r>
            <w:r w:rsidRPr="002B21AF">
              <w:rPr>
                <w:rFonts w:cstheme="minorHAnsi"/>
              </w:rPr>
              <w:tab/>
              <w:t xml:space="preserve">Projekti ,,Ndërtimi i ndërtesës së përbashkët për banim të familjeve me nevojë’’ – Faza përfundimtare, në vlerë 99,097€ e nënshkruar më 24.11.2022 do të duhej të përfundonin punimet për 140 ditë. Deri në </w:t>
            </w:r>
            <w:proofErr w:type="spellStart"/>
            <w:r w:rsidRPr="002B21AF">
              <w:rPr>
                <w:rFonts w:cstheme="minorHAnsi"/>
              </w:rPr>
              <w:t>situacionin</w:t>
            </w:r>
            <w:proofErr w:type="spellEnd"/>
            <w:r w:rsidRPr="002B21AF">
              <w:rPr>
                <w:rFonts w:cstheme="minorHAnsi"/>
              </w:rPr>
              <w:t xml:space="preserve"> e II-të të datës 02.05.2023 projekti ishte realizuar në vlerë 70,048€ apo 70%, vonesa ishin deri 2 muaj.</w:t>
            </w:r>
          </w:p>
          <w:p w14:paraId="0A28D889" w14:textId="77777777" w:rsidR="002B21AF" w:rsidRPr="002B21AF" w:rsidRDefault="002B21AF" w:rsidP="002B21AF">
            <w:pPr>
              <w:spacing w:after="0"/>
              <w:jc w:val="both"/>
              <w:rPr>
                <w:rFonts w:cstheme="minorHAnsi"/>
              </w:rPr>
            </w:pPr>
            <w:r w:rsidRPr="002B21AF">
              <w:rPr>
                <w:rFonts w:cstheme="minorHAnsi"/>
              </w:rPr>
              <w:t>•</w:t>
            </w:r>
            <w:r w:rsidRPr="002B21AF">
              <w:rPr>
                <w:rFonts w:cstheme="minorHAnsi"/>
              </w:rPr>
              <w:tab/>
              <w:t xml:space="preserve">Projekti ,,Trajtimi i shtretërve të përrenjve në Komunën e Rahovecit’’ – Faza e parë, në vlerë 815,988€ e nënshkruar më 02.09.2020 do të duhej të përfundonte për 24 muaj. Deri në </w:t>
            </w:r>
            <w:proofErr w:type="spellStart"/>
            <w:r w:rsidRPr="002B21AF">
              <w:rPr>
                <w:rFonts w:cstheme="minorHAnsi"/>
              </w:rPr>
              <w:t>situacionin</w:t>
            </w:r>
            <w:proofErr w:type="spellEnd"/>
            <w:r w:rsidRPr="002B21AF">
              <w:rPr>
                <w:rFonts w:cstheme="minorHAnsi"/>
              </w:rPr>
              <w:t xml:space="preserve"> e V të datës 17.10.2023 projekti ishte realizuar në vlerë 386,588€ apo 47%, që rezulton në vonesë rreth 13 muaj.</w:t>
            </w:r>
          </w:p>
          <w:p w14:paraId="5C07BA5D" w14:textId="77777777" w:rsidR="002B21AF" w:rsidRPr="002B21AF" w:rsidRDefault="002B21AF" w:rsidP="002B21AF">
            <w:pPr>
              <w:spacing w:after="0"/>
              <w:jc w:val="both"/>
              <w:rPr>
                <w:rFonts w:cstheme="minorHAnsi"/>
              </w:rPr>
            </w:pPr>
            <w:r w:rsidRPr="002B21AF">
              <w:rPr>
                <w:rFonts w:cstheme="minorHAnsi"/>
              </w:rPr>
              <w:t>•</w:t>
            </w:r>
            <w:r w:rsidRPr="002B21AF">
              <w:rPr>
                <w:rFonts w:cstheme="minorHAnsi"/>
              </w:rPr>
              <w:tab/>
              <w:t xml:space="preserve">Projekti ,,Ndërtimi i infrastrukturës për tregun e rrushit </w:t>
            </w:r>
            <w:proofErr w:type="spellStart"/>
            <w:r w:rsidRPr="002B21AF">
              <w:rPr>
                <w:rFonts w:cstheme="minorHAnsi"/>
              </w:rPr>
              <w:t>Hardhfest</w:t>
            </w:r>
            <w:proofErr w:type="spellEnd"/>
            <w:r w:rsidRPr="002B21AF">
              <w:rPr>
                <w:rFonts w:cstheme="minorHAnsi"/>
              </w:rPr>
              <w:t xml:space="preserve">’’ Faza e përfundimtare, në vlerë 156,605€ e nënshkruar më 08.07.2022 do të duhej të përfundonte për 210 ditë. Deri në </w:t>
            </w:r>
            <w:proofErr w:type="spellStart"/>
            <w:r w:rsidRPr="002B21AF">
              <w:rPr>
                <w:rFonts w:cstheme="minorHAnsi"/>
              </w:rPr>
              <w:t>situacionin</w:t>
            </w:r>
            <w:proofErr w:type="spellEnd"/>
            <w:r w:rsidRPr="002B21AF">
              <w:rPr>
                <w:rFonts w:cstheme="minorHAnsi"/>
              </w:rPr>
              <w:t xml:space="preserve"> e IV projekti ishte realizuar në vlerë 115,365€ apo 74%, që rezulton më vonesë rreth 6 muaj.</w:t>
            </w:r>
          </w:p>
          <w:p w14:paraId="2F855D46" w14:textId="77777777" w:rsidR="002B21AF" w:rsidRPr="002B21AF" w:rsidRDefault="002B21AF" w:rsidP="002B21AF">
            <w:pPr>
              <w:spacing w:after="0"/>
              <w:jc w:val="both"/>
              <w:rPr>
                <w:rFonts w:cstheme="minorHAnsi"/>
              </w:rPr>
            </w:pPr>
            <w:r w:rsidRPr="002B21AF">
              <w:rPr>
                <w:rFonts w:cstheme="minorHAnsi"/>
              </w:rPr>
              <w:t>•</w:t>
            </w:r>
            <w:r w:rsidRPr="002B21AF">
              <w:rPr>
                <w:rFonts w:cstheme="minorHAnsi"/>
              </w:rPr>
              <w:tab/>
              <w:t xml:space="preserve">Projekti ,,Ndërtimi i shtratit të përroit në lagjen Kelmendi në </w:t>
            </w:r>
            <w:proofErr w:type="spellStart"/>
            <w:r w:rsidRPr="002B21AF">
              <w:rPr>
                <w:rFonts w:cstheme="minorHAnsi"/>
              </w:rPr>
              <w:t>Kramovik</w:t>
            </w:r>
            <w:proofErr w:type="spellEnd"/>
            <w:r w:rsidRPr="002B21AF">
              <w:rPr>
                <w:rFonts w:cstheme="minorHAnsi"/>
              </w:rPr>
              <w:t xml:space="preserve">’’ në vlerë 266,034€, i nënshkruar më 09.09.2021 do të duhej të përfundonte për 320 ditë. Deri në </w:t>
            </w:r>
            <w:proofErr w:type="spellStart"/>
            <w:r w:rsidRPr="002B21AF">
              <w:rPr>
                <w:rFonts w:cstheme="minorHAnsi"/>
              </w:rPr>
              <w:t>situacionin</w:t>
            </w:r>
            <w:proofErr w:type="spellEnd"/>
            <w:r w:rsidRPr="002B21AF">
              <w:rPr>
                <w:rFonts w:cstheme="minorHAnsi"/>
              </w:rPr>
              <w:t xml:space="preserve"> e III të datës</w:t>
            </w:r>
          </w:p>
          <w:p w14:paraId="2A5817F4" w14:textId="77777777" w:rsidR="002B21AF" w:rsidRPr="002B21AF" w:rsidRDefault="002B21AF" w:rsidP="002B21AF">
            <w:pPr>
              <w:spacing w:after="0"/>
              <w:jc w:val="both"/>
              <w:rPr>
                <w:rFonts w:cstheme="minorHAnsi"/>
              </w:rPr>
            </w:pPr>
            <w:r w:rsidRPr="002B21AF">
              <w:rPr>
                <w:rFonts w:cstheme="minorHAnsi"/>
              </w:rPr>
              <w:t xml:space="preserve"> </w:t>
            </w:r>
          </w:p>
          <w:p w14:paraId="109BB719" w14:textId="77777777" w:rsidR="002B21AF" w:rsidRPr="002B21AF" w:rsidRDefault="002B21AF" w:rsidP="002B21AF">
            <w:pPr>
              <w:spacing w:after="0"/>
              <w:jc w:val="both"/>
              <w:rPr>
                <w:rFonts w:cstheme="minorHAnsi"/>
              </w:rPr>
            </w:pPr>
            <w:r w:rsidRPr="002B21AF">
              <w:rPr>
                <w:rFonts w:cstheme="minorHAnsi"/>
              </w:rPr>
              <w:t>03.02.2023 projekti ishte realizuar në vlerë 224,154€ apo 84%, që rezulton më vonesë rreth 6 muaj.</w:t>
            </w:r>
          </w:p>
          <w:p w14:paraId="40CBEA30" w14:textId="77777777" w:rsidR="002B21AF" w:rsidRPr="002B21AF" w:rsidRDefault="002B21AF" w:rsidP="002B21AF">
            <w:pPr>
              <w:spacing w:after="0"/>
              <w:jc w:val="both"/>
              <w:rPr>
                <w:rFonts w:cstheme="minorHAnsi"/>
              </w:rPr>
            </w:pPr>
            <w:r w:rsidRPr="002B21AF">
              <w:rPr>
                <w:rFonts w:cstheme="minorHAnsi"/>
              </w:rPr>
              <w:t>•</w:t>
            </w:r>
            <w:r w:rsidRPr="002B21AF">
              <w:rPr>
                <w:rFonts w:cstheme="minorHAnsi"/>
              </w:rPr>
              <w:tab/>
              <w:t xml:space="preserve">Projekti ,,Ndërtimi i kompleksit sportiv në zonën turistike të Rahovecit lot 2’’ në vlerë 356,152€ e nënshkruar më 25.10.2021 do të duhej të përfundonte për 300 ditë. Deri në </w:t>
            </w:r>
            <w:proofErr w:type="spellStart"/>
            <w:r w:rsidRPr="002B21AF">
              <w:rPr>
                <w:rFonts w:cstheme="minorHAnsi"/>
              </w:rPr>
              <w:t>situacionin</w:t>
            </w:r>
            <w:proofErr w:type="spellEnd"/>
            <w:r w:rsidRPr="002B21AF">
              <w:rPr>
                <w:rFonts w:cstheme="minorHAnsi"/>
              </w:rPr>
              <w:t xml:space="preserve"> e VI të datës 15.12.2023 projekti ishte realizuar në vlerë 179,995€ apo 51%, që rezulton më vonesë rreth 15 muaj.</w:t>
            </w:r>
          </w:p>
          <w:p w14:paraId="69E3FE70" w14:textId="77777777" w:rsidR="002B21AF" w:rsidRPr="002B21AF" w:rsidRDefault="002B21AF" w:rsidP="002B21AF">
            <w:pPr>
              <w:spacing w:after="0"/>
              <w:jc w:val="both"/>
              <w:rPr>
                <w:rFonts w:cstheme="minorHAnsi"/>
              </w:rPr>
            </w:pPr>
            <w:r w:rsidRPr="002B21AF">
              <w:rPr>
                <w:rFonts w:cstheme="minorHAnsi"/>
              </w:rPr>
              <w:t>•</w:t>
            </w:r>
            <w:r w:rsidRPr="002B21AF">
              <w:rPr>
                <w:rFonts w:cstheme="minorHAnsi"/>
              </w:rPr>
              <w:tab/>
              <w:t xml:space="preserve">Projekti ,,Ndërtimi i parqeve në komunën e Rahovecit’’ në vlerë 288,963€ e nënshkruar më 15.09.2021 do të duhej të përfundonte për 500 ditë. Deri në </w:t>
            </w:r>
            <w:proofErr w:type="spellStart"/>
            <w:r w:rsidRPr="002B21AF">
              <w:rPr>
                <w:rFonts w:cstheme="minorHAnsi"/>
              </w:rPr>
              <w:t>situacionin</w:t>
            </w:r>
            <w:proofErr w:type="spellEnd"/>
            <w:r w:rsidRPr="002B21AF">
              <w:rPr>
                <w:rFonts w:cstheme="minorHAnsi"/>
              </w:rPr>
              <w:t xml:space="preserve"> e V të datës 30.05.2023 </w:t>
            </w:r>
            <w:r w:rsidRPr="002B21AF">
              <w:rPr>
                <w:rFonts w:cstheme="minorHAnsi"/>
              </w:rPr>
              <w:lastRenderedPageBreak/>
              <w:t>projekti ishte realizuar në vlerë 194,369€ apo 67%, që rezulton më vonesë rreth 5 muaj.</w:t>
            </w:r>
          </w:p>
          <w:p w14:paraId="6AA50812" w14:textId="77777777" w:rsidR="002B21AF" w:rsidRPr="002B21AF" w:rsidRDefault="002B21AF" w:rsidP="002B21AF">
            <w:pPr>
              <w:spacing w:after="0"/>
              <w:jc w:val="both"/>
              <w:rPr>
                <w:rFonts w:cstheme="minorHAnsi"/>
              </w:rPr>
            </w:pPr>
            <w:r w:rsidRPr="002B21AF">
              <w:rPr>
                <w:rFonts w:cstheme="minorHAnsi"/>
              </w:rPr>
              <w:t>•</w:t>
            </w:r>
            <w:r w:rsidRPr="002B21AF">
              <w:rPr>
                <w:rFonts w:cstheme="minorHAnsi"/>
              </w:rPr>
              <w:tab/>
              <w:t xml:space="preserve">Projekti ,,Ndërtimi i sheshit në qendër të qytetit’’ në vlerë 155,959€ e nënshkruar me 08.07.2022 do të duhej të përfundonte për 120 ditë. Deri në </w:t>
            </w:r>
            <w:proofErr w:type="spellStart"/>
            <w:r w:rsidRPr="002B21AF">
              <w:rPr>
                <w:rFonts w:cstheme="minorHAnsi"/>
              </w:rPr>
              <w:t>situacionin</w:t>
            </w:r>
            <w:proofErr w:type="spellEnd"/>
            <w:r w:rsidRPr="002B21AF">
              <w:rPr>
                <w:rFonts w:cstheme="minorHAnsi"/>
              </w:rPr>
              <w:t xml:space="preserve"> e III të datës 06.12.2022 projekti ishte realizuar në vlerë 106,927€ apo 69%, që rezulton më vonesë rreth 2 muaj.</w:t>
            </w:r>
          </w:p>
          <w:p w14:paraId="58337E44" w14:textId="77777777" w:rsidR="002B21AF" w:rsidRPr="002B21AF" w:rsidRDefault="002B21AF" w:rsidP="002B21AF">
            <w:pPr>
              <w:spacing w:after="0"/>
              <w:jc w:val="both"/>
              <w:rPr>
                <w:rFonts w:cstheme="minorHAnsi"/>
              </w:rPr>
            </w:pPr>
            <w:r w:rsidRPr="002B21AF">
              <w:rPr>
                <w:rFonts w:cstheme="minorHAnsi"/>
              </w:rPr>
              <w:t>•</w:t>
            </w:r>
            <w:r w:rsidRPr="002B21AF">
              <w:rPr>
                <w:rFonts w:cstheme="minorHAnsi"/>
              </w:rPr>
              <w:tab/>
              <w:t xml:space="preserve">Projekti ,,Rregullimi i varrezave të dëshmoreve dhe civileve lot 1’’ në vlerë 134,795€ e nënshkruar më 27.08.2020 do të duhej të përfundonte për 24 muaj. Deri në </w:t>
            </w:r>
            <w:proofErr w:type="spellStart"/>
            <w:r w:rsidRPr="002B21AF">
              <w:rPr>
                <w:rFonts w:cstheme="minorHAnsi"/>
              </w:rPr>
              <w:t>situacionin</w:t>
            </w:r>
            <w:proofErr w:type="spellEnd"/>
            <w:r w:rsidRPr="002B21AF">
              <w:rPr>
                <w:rFonts w:cstheme="minorHAnsi"/>
              </w:rPr>
              <w:t xml:space="preserve"> e IV të datës 10.05.2023 projekti ishte realizuar në vlerë 121,217€ apo 90%, që rezulton më vonesë rreth 16 muaj; dhe</w:t>
            </w:r>
          </w:p>
          <w:p w14:paraId="4A7FEDD7" w14:textId="77777777" w:rsidR="002B21AF" w:rsidRPr="002B21AF" w:rsidRDefault="002B21AF" w:rsidP="002B21AF">
            <w:pPr>
              <w:spacing w:after="0"/>
              <w:jc w:val="both"/>
              <w:rPr>
                <w:rFonts w:cstheme="minorHAnsi"/>
              </w:rPr>
            </w:pPr>
            <w:r w:rsidRPr="002B21AF">
              <w:rPr>
                <w:rFonts w:cstheme="minorHAnsi"/>
              </w:rPr>
              <w:t>•</w:t>
            </w:r>
            <w:r w:rsidRPr="002B21AF">
              <w:rPr>
                <w:rFonts w:cstheme="minorHAnsi"/>
              </w:rPr>
              <w:tab/>
              <w:t xml:space="preserve">Projekti ,,Riparimi i monumenteve kulturore dhe historike lot 1’’ në vlerë 130,015€ e nënshkruar më 20.09.2021 do të duhej të përfundonte për 430 ditë. Deri në </w:t>
            </w:r>
            <w:proofErr w:type="spellStart"/>
            <w:r w:rsidRPr="002B21AF">
              <w:rPr>
                <w:rFonts w:cstheme="minorHAnsi"/>
              </w:rPr>
              <w:t>situacionin</w:t>
            </w:r>
            <w:proofErr w:type="spellEnd"/>
            <w:r w:rsidRPr="002B21AF">
              <w:rPr>
                <w:rFonts w:cstheme="minorHAnsi"/>
              </w:rPr>
              <w:t xml:space="preserve"> e VIII të datës më 21.11.2023 projekti ishte realizuar në vlerë 87,792€ apo 68%, që rezulton më vonesë rreth 11 muaj.</w:t>
            </w:r>
          </w:p>
          <w:p w14:paraId="265B83E0" w14:textId="28D4239A" w:rsidR="00930B7C" w:rsidRPr="00EC6E6F" w:rsidRDefault="002B21AF" w:rsidP="002B21AF">
            <w:pPr>
              <w:spacing w:after="0"/>
              <w:jc w:val="both"/>
              <w:rPr>
                <w:rFonts w:cstheme="minorHAnsi"/>
              </w:rPr>
            </w:pPr>
            <w:r w:rsidRPr="002B21AF">
              <w:rPr>
                <w:rFonts w:cstheme="minorHAnsi"/>
              </w:rPr>
              <w:t xml:space="preserve">Kjo ka ndodhur për shkak të menaxhimit jo të mirë të kontratave publike, si dhe për shkak të hyrjes në obligime </w:t>
            </w:r>
            <w:proofErr w:type="spellStart"/>
            <w:r w:rsidRPr="002B21AF">
              <w:rPr>
                <w:rFonts w:cstheme="minorHAnsi"/>
              </w:rPr>
              <w:t>kontraktuale</w:t>
            </w:r>
            <w:proofErr w:type="spellEnd"/>
            <w:r w:rsidRPr="002B21AF">
              <w:rPr>
                <w:rFonts w:cstheme="minorHAnsi"/>
              </w:rPr>
              <w:t xml:space="preserve"> pa u siguruar mjetet e nevojshme buxhetore.</w:t>
            </w:r>
          </w:p>
        </w:tc>
        <w:tc>
          <w:tcPr>
            <w:tcW w:w="2070" w:type="dxa"/>
          </w:tcPr>
          <w:p w14:paraId="1FDEEA3D" w14:textId="50AE4157" w:rsidR="00930B7C" w:rsidRPr="00EC6E6F" w:rsidRDefault="002B21AF" w:rsidP="00930B7C">
            <w:pPr>
              <w:spacing w:after="0"/>
              <w:jc w:val="both"/>
              <w:rPr>
                <w:rFonts w:cstheme="minorHAnsi"/>
              </w:rPr>
            </w:pPr>
            <w:r w:rsidRPr="002B21AF">
              <w:rPr>
                <w:rFonts w:cstheme="minorHAnsi"/>
              </w:rPr>
              <w:lastRenderedPageBreak/>
              <w:t>Kryetari duhet të sigurojë se projektet kapitale realizohen brenda planit dinamik të përcaktuar me kontratë, dhe për vonesat e pa arsyetuara të aplikohen penalet e parapara me kontratë.</w:t>
            </w:r>
          </w:p>
        </w:tc>
        <w:tc>
          <w:tcPr>
            <w:tcW w:w="2250" w:type="dxa"/>
          </w:tcPr>
          <w:p w14:paraId="6294880B" w14:textId="481AA223" w:rsidR="00930B7C" w:rsidRPr="00EC6E6F" w:rsidRDefault="0017012D" w:rsidP="00930B7C">
            <w:pPr>
              <w:spacing w:after="0"/>
              <w:rPr>
                <w:rFonts w:cstheme="minorHAnsi"/>
              </w:rPr>
            </w:pPr>
            <w:r w:rsidRPr="00322146">
              <w:rPr>
                <w:rFonts w:cstheme="minorHAnsi"/>
              </w:rPr>
              <w:t xml:space="preserve">Shpresojmë qe ketë ky rekomandim do të zbatohet </w:t>
            </w:r>
            <w:proofErr w:type="spellStart"/>
            <w:r w:rsidRPr="00322146">
              <w:rPr>
                <w:rFonts w:cstheme="minorHAnsi"/>
              </w:rPr>
              <w:t>pjesërishtë,me</w:t>
            </w:r>
            <w:proofErr w:type="spellEnd"/>
            <w:r w:rsidRPr="00322146">
              <w:rPr>
                <w:rFonts w:cstheme="minorHAnsi"/>
              </w:rPr>
              <w:t xml:space="preserve"> gjasë edhe </w:t>
            </w:r>
            <w:proofErr w:type="spellStart"/>
            <w:r w:rsidRPr="00322146">
              <w:rPr>
                <w:rFonts w:cstheme="minorHAnsi"/>
              </w:rPr>
              <w:t>t</w:t>
            </w:r>
            <w:r w:rsidR="00322146" w:rsidRPr="00322146">
              <w:rPr>
                <w:rFonts w:cstheme="minorHAnsi"/>
              </w:rPr>
              <w:t>ë</w:t>
            </w:r>
            <w:r w:rsidRPr="00322146">
              <w:rPr>
                <w:rFonts w:cstheme="minorHAnsi"/>
              </w:rPr>
              <w:t>r</w:t>
            </w:r>
            <w:r w:rsidR="00322146" w:rsidRPr="00322146">
              <w:rPr>
                <w:rFonts w:cstheme="minorHAnsi"/>
              </w:rPr>
              <w:t>ë</w:t>
            </w:r>
            <w:r w:rsidRPr="00322146">
              <w:rPr>
                <w:rFonts w:cstheme="minorHAnsi"/>
              </w:rPr>
              <w:t>sishtë</w:t>
            </w:r>
            <w:proofErr w:type="spellEnd"/>
            <w:r w:rsidRPr="00322146">
              <w:rPr>
                <w:rFonts w:cstheme="minorHAnsi"/>
              </w:rPr>
              <w:t xml:space="preserve"> gjatë vitit 2024, sepse </w:t>
            </w:r>
            <w:proofErr w:type="spellStart"/>
            <w:r w:rsidRPr="00322146">
              <w:rPr>
                <w:rFonts w:cstheme="minorHAnsi"/>
              </w:rPr>
              <w:t>menagjerëet</w:t>
            </w:r>
            <w:proofErr w:type="spellEnd"/>
            <w:r w:rsidRPr="00322146">
              <w:rPr>
                <w:rFonts w:cstheme="minorHAnsi"/>
              </w:rPr>
              <w:t xml:space="preserve"> e kontratave do të </w:t>
            </w:r>
            <w:proofErr w:type="spellStart"/>
            <w:r w:rsidRPr="00322146">
              <w:rPr>
                <w:rFonts w:cstheme="minorHAnsi"/>
              </w:rPr>
              <w:t>ndërrmarrin</w:t>
            </w:r>
            <w:proofErr w:type="spellEnd"/>
            <w:r w:rsidRPr="00322146">
              <w:rPr>
                <w:rFonts w:cstheme="minorHAnsi"/>
              </w:rPr>
              <w:t xml:space="preserve"> veprimet e duhura për përfundimin e punimeve në terën</w:t>
            </w:r>
            <w:r>
              <w:rPr>
                <w:rFonts w:cstheme="minorHAnsi"/>
                <w:b/>
                <w:color w:val="FF0000"/>
              </w:rPr>
              <w:t>.</w:t>
            </w:r>
            <w:r>
              <w:rPr>
                <w:rFonts w:cstheme="minorHAnsi"/>
                <w:b/>
                <w:color w:val="FF0000"/>
              </w:rPr>
              <w:t xml:space="preserve"> </w:t>
            </w:r>
          </w:p>
        </w:tc>
        <w:tc>
          <w:tcPr>
            <w:tcW w:w="1080" w:type="dxa"/>
          </w:tcPr>
          <w:p w14:paraId="209C0886" w14:textId="0537DD54" w:rsidR="00930B7C" w:rsidRPr="00EC6E6F" w:rsidRDefault="00F7597C" w:rsidP="00930B7C">
            <w:pPr>
              <w:jc w:val="center"/>
              <w:rPr>
                <w:rFonts w:cstheme="minorHAnsi"/>
              </w:rPr>
            </w:pPr>
            <w:r>
              <w:rPr>
                <w:rFonts w:cstheme="minorHAnsi"/>
              </w:rPr>
              <w:t xml:space="preserve">Zyra e prokurimit, dhe drejtorit </w:t>
            </w:r>
            <w:proofErr w:type="spellStart"/>
            <w:r>
              <w:rPr>
                <w:rFonts w:cstheme="minorHAnsi"/>
              </w:rPr>
              <w:t>përkatse</w:t>
            </w:r>
            <w:proofErr w:type="spellEnd"/>
            <w:r>
              <w:rPr>
                <w:rFonts w:cstheme="minorHAnsi"/>
              </w:rPr>
              <w:t>.</w:t>
            </w:r>
          </w:p>
        </w:tc>
        <w:tc>
          <w:tcPr>
            <w:tcW w:w="810" w:type="dxa"/>
          </w:tcPr>
          <w:p w14:paraId="1CFFC3F0" w14:textId="1DEE4800" w:rsidR="00930B7C" w:rsidRPr="00912F16" w:rsidRDefault="00930B7C" w:rsidP="00930B7C">
            <w:pPr>
              <w:spacing w:after="0"/>
              <w:rPr>
                <w:sz w:val="20"/>
                <w:szCs w:val="20"/>
              </w:rPr>
            </w:pPr>
            <w:r>
              <w:rPr>
                <w:sz w:val="20"/>
                <w:szCs w:val="20"/>
              </w:rPr>
              <w:t>20</w:t>
            </w:r>
            <w:r w:rsidR="00F7597C">
              <w:rPr>
                <w:sz w:val="20"/>
                <w:szCs w:val="20"/>
              </w:rPr>
              <w:t>24</w:t>
            </w:r>
          </w:p>
        </w:tc>
        <w:tc>
          <w:tcPr>
            <w:tcW w:w="905" w:type="dxa"/>
          </w:tcPr>
          <w:p w14:paraId="1B0C9E10" w14:textId="77777777" w:rsidR="00930B7C" w:rsidRPr="00912F16" w:rsidRDefault="00930B7C" w:rsidP="00930B7C">
            <w:pPr>
              <w:spacing w:after="0"/>
              <w:rPr>
                <w:sz w:val="20"/>
                <w:szCs w:val="20"/>
              </w:rPr>
            </w:pPr>
          </w:p>
        </w:tc>
        <w:bookmarkStart w:id="0" w:name="_GoBack"/>
        <w:bookmarkEnd w:id="0"/>
      </w:tr>
      <w:tr w:rsidR="00930B7C" w:rsidRPr="00912F16" w14:paraId="77009101" w14:textId="77777777" w:rsidTr="007F36DB">
        <w:trPr>
          <w:trHeight w:val="4"/>
          <w:jc w:val="center"/>
        </w:trPr>
        <w:tc>
          <w:tcPr>
            <w:tcW w:w="535" w:type="dxa"/>
          </w:tcPr>
          <w:p w14:paraId="2075A1EA" w14:textId="15450421" w:rsidR="00930B7C" w:rsidRDefault="00930B7C" w:rsidP="00930B7C">
            <w:pPr>
              <w:spacing w:after="0"/>
              <w:rPr>
                <w:b/>
              </w:rPr>
            </w:pPr>
            <w:r>
              <w:rPr>
                <w:b/>
              </w:rPr>
              <w:t>7.</w:t>
            </w:r>
          </w:p>
          <w:p w14:paraId="5BD150C4" w14:textId="77777777" w:rsidR="00930B7C" w:rsidRDefault="00930B7C" w:rsidP="00930B7C">
            <w:pPr>
              <w:spacing w:after="0"/>
              <w:rPr>
                <w:b/>
              </w:rPr>
            </w:pPr>
          </w:p>
          <w:p w14:paraId="08146957" w14:textId="77777777" w:rsidR="00930B7C" w:rsidRDefault="00930B7C" w:rsidP="00930B7C">
            <w:pPr>
              <w:spacing w:after="0"/>
              <w:rPr>
                <w:b/>
              </w:rPr>
            </w:pPr>
          </w:p>
          <w:p w14:paraId="1219E4EE" w14:textId="77777777" w:rsidR="00930B7C" w:rsidRDefault="00930B7C" w:rsidP="00930B7C">
            <w:pPr>
              <w:spacing w:after="0"/>
              <w:rPr>
                <w:b/>
              </w:rPr>
            </w:pPr>
          </w:p>
          <w:p w14:paraId="06704C64" w14:textId="77777777" w:rsidR="00930B7C" w:rsidRDefault="00930B7C" w:rsidP="00930B7C">
            <w:pPr>
              <w:spacing w:after="0"/>
              <w:rPr>
                <w:b/>
              </w:rPr>
            </w:pPr>
          </w:p>
          <w:p w14:paraId="1D2F4836" w14:textId="77777777" w:rsidR="00930B7C" w:rsidRDefault="00930B7C" w:rsidP="00930B7C">
            <w:pPr>
              <w:spacing w:after="0"/>
              <w:rPr>
                <w:b/>
              </w:rPr>
            </w:pPr>
          </w:p>
          <w:p w14:paraId="39F1F5B7" w14:textId="77777777" w:rsidR="00930B7C" w:rsidRDefault="00930B7C" w:rsidP="00930B7C">
            <w:pPr>
              <w:spacing w:after="0"/>
              <w:rPr>
                <w:b/>
              </w:rPr>
            </w:pPr>
          </w:p>
          <w:p w14:paraId="126C4CDE" w14:textId="77777777" w:rsidR="00930B7C" w:rsidRDefault="00930B7C" w:rsidP="00930B7C">
            <w:pPr>
              <w:spacing w:after="0"/>
              <w:rPr>
                <w:b/>
              </w:rPr>
            </w:pPr>
          </w:p>
          <w:p w14:paraId="5FCD9CE4" w14:textId="77777777" w:rsidR="00930B7C" w:rsidRDefault="00930B7C" w:rsidP="00930B7C">
            <w:pPr>
              <w:spacing w:after="0"/>
              <w:rPr>
                <w:b/>
              </w:rPr>
            </w:pPr>
          </w:p>
          <w:p w14:paraId="5EA7DF34" w14:textId="0683300C" w:rsidR="00930B7C" w:rsidRPr="001469A2" w:rsidRDefault="00930B7C" w:rsidP="00930B7C">
            <w:pPr>
              <w:spacing w:after="0"/>
              <w:rPr>
                <w:b/>
              </w:rPr>
            </w:pPr>
          </w:p>
          <w:p w14:paraId="692AC819" w14:textId="77777777" w:rsidR="00930B7C" w:rsidRPr="0050456B" w:rsidRDefault="00930B7C" w:rsidP="00930B7C">
            <w:pPr>
              <w:spacing w:after="0"/>
            </w:pPr>
          </w:p>
        </w:tc>
        <w:tc>
          <w:tcPr>
            <w:tcW w:w="1260" w:type="dxa"/>
          </w:tcPr>
          <w:p w14:paraId="294B4ABD" w14:textId="661A24DF" w:rsidR="00930B7C" w:rsidRPr="00AF1422" w:rsidRDefault="00CD6116" w:rsidP="00930B7C">
            <w:pPr>
              <w:spacing w:after="0"/>
              <w:rPr>
                <w:sz w:val="20"/>
                <w:szCs w:val="20"/>
                <w:highlight w:val="yellow"/>
                <w:lang w:val="sr-Latn-RS"/>
              </w:rPr>
            </w:pPr>
            <w:r w:rsidRPr="00CD6116">
              <w:rPr>
                <w:b/>
                <w:sz w:val="20"/>
                <w:szCs w:val="20"/>
                <w:lang w:val="sr-Latn-RS"/>
              </w:rPr>
              <w:t>Çështja B2</w:t>
            </w:r>
            <w:r w:rsidRPr="00CD6116">
              <w:rPr>
                <w:sz w:val="20"/>
                <w:szCs w:val="20"/>
                <w:lang w:val="sr-Latn-RS"/>
              </w:rPr>
              <w:t xml:space="preserve"> - Urdhër blerjet pas pranimit të faturës apo pas pranimit të furnizimeve apo punëve</w:t>
            </w:r>
          </w:p>
        </w:tc>
        <w:tc>
          <w:tcPr>
            <w:tcW w:w="6390" w:type="dxa"/>
          </w:tcPr>
          <w:p w14:paraId="73ECDB26" w14:textId="77777777" w:rsidR="007A11A5" w:rsidRPr="007A11A5" w:rsidRDefault="007A11A5" w:rsidP="007A11A5">
            <w:pPr>
              <w:spacing w:after="0"/>
              <w:jc w:val="both"/>
              <w:rPr>
                <w:rFonts w:cstheme="minorHAnsi"/>
              </w:rPr>
            </w:pPr>
            <w:r w:rsidRPr="007A11A5">
              <w:rPr>
                <w:rFonts w:cstheme="minorHAnsi"/>
              </w:rPr>
              <w:t>Rregulla financiare nr. 01/2013 për shpenzimet e parasë publike, neni 22 specifikon se zotimi dhe urdhër blerja i paraprinë raportit të pranimit apo faturës.</w:t>
            </w:r>
          </w:p>
          <w:p w14:paraId="60A04640" w14:textId="77777777" w:rsidR="007A11A5" w:rsidRPr="007A11A5" w:rsidRDefault="007A11A5" w:rsidP="007A11A5">
            <w:pPr>
              <w:spacing w:after="0"/>
              <w:jc w:val="both"/>
              <w:rPr>
                <w:rFonts w:cstheme="minorHAnsi"/>
              </w:rPr>
            </w:pPr>
          </w:p>
          <w:p w14:paraId="7FB3F26B" w14:textId="77777777" w:rsidR="007A11A5" w:rsidRPr="007A11A5" w:rsidRDefault="007A11A5" w:rsidP="007A11A5">
            <w:pPr>
              <w:spacing w:after="0"/>
              <w:jc w:val="both"/>
              <w:rPr>
                <w:rFonts w:cstheme="minorHAnsi"/>
              </w:rPr>
            </w:pPr>
            <w:r w:rsidRPr="007A11A5">
              <w:rPr>
                <w:rFonts w:cstheme="minorHAnsi"/>
              </w:rPr>
              <w:t xml:space="preserve">Gjatë testimit të 26 pagesa për investime kapitale në vlerë 1,090,793€, kemi vërejtur se </w:t>
            </w:r>
            <w:proofErr w:type="spellStart"/>
            <w:r w:rsidRPr="007A11A5">
              <w:rPr>
                <w:rFonts w:cstheme="minorHAnsi"/>
              </w:rPr>
              <w:t>urdhërblerjet</w:t>
            </w:r>
            <w:proofErr w:type="spellEnd"/>
            <w:r w:rsidRPr="007A11A5">
              <w:rPr>
                <w:rFonts w:cstheme="minorHAnsi"/>
              </w:rPr>
              <w:t xml:space="preserve"> ishin bërë pas pranimit të faturave dhe pas pranimit të punimeve. Vonesat në përgatitjen e </w:t>
            </w:r>
            <w:proofErr w:type="spellStart"/>
            <w:r w:rsidRPr="007A11A5">
              <w:rPr>
                <w:rFonts w:cstheme="minorHAnsi"/>
              </w:rPr>
              <w:t>urdhërblerjeve</w:t>
            </w:r>
            <w:proofErr w:type="spellEnd"/>
            <w:r w:rsidRPr="007A11A5">
              <w:rPr>
                <w:rFonts w:cstheme="minorHAnsi"/>
              </w:rPr>
              <w:t xml:space="preserve"> ishin nga 2 ditë deri në 2 vite.</w:t>
            </w:r>
          </w:p>
          <w:p w14:paraId="3567E5AA" w14:textId="77777777" w:rsidR="007A11A5" w:rsidRPr="007A11A5" w:rsidRDefault="007A11A5" w:rsidP="007A11A5">
            <w:pPr>
              <w:spacing w:after="0"/>
              <w:jc w:val="both"/>
              <w:rPr>
                <w:rFonts w:cstheme="minorHAnsi"/>
              </w:rPr>
            </w:pPr>
          </w:p>
          <w:p w14:paraId="35B178B6" w14:textId="0586E41F" w:rsidR="00930B7C" w:rsidRPr="00EC6E6F" w:rsidRDefault="007A11A5" w:rsidP="007A11A5">
            <w:pPr>
              <w:spacing w:after="0"/>
              <w:jc w:val="both"/>
              <w:rPr>
                <w:rFonts w:cstheme="minorHAnsi"/>
              </w:rPr>
            </w:pPr>
            <w:r w:rsidRPr="007A11A5">
              <w:rPr>
                <w:rFonts w:cstheme="minorHAnsi"/>
              </w:rPr>
              <w:t>Kjo ka ndodhur për shkak të kontrolleve të pamjaftueshme në përgatitjen e</w:t>
            </w:r>
            <w:r>
              <w:rPr>
                <w:rFonts w:cstheme="minorHAnsi"/>
              </w:rPr>
              <w:t xml:space="preserve"> </w:t>
            </w:r>
            <w:proofErr w:type="spellStart"/>
            <w:r w:rsidRPr="007A11A5">
              <w:rPr>
                <w:rFonts w:cstheme="minorHAnsi"/>
              </w:rPr>
              <w:t>urdhërblerjeve</w:t>
            </w:r>
            <w:proofErr w:type="spellEnd"/>
            <w:r w:rsidRPr="007A11A5">
              <w:rPr>
                <w:rFonts w:cstheme="minorHAnsi"/>
              </w:rPr>
              <w:t xml:space="preserve"> më kohë në SIMFK.</w:t>
            </w:r>
          </w:p>
        </w:tc>
        <w:tc>
          <w:tcPr>
            <w:tcW w:w="2070" w:type="dxa"/>
          </w:tcPr>
          <w:p w14:paraId="02BB505E" w14:textId="787EC0D5" w:rsidR="00930B7C" w:rsidRPr="0083120F" w:rsidRDefault="007A11A5" w:rsidP="007A11A5">
            <w:pPr>
              <w:spacing w:after="0"/>
              <w:rPr>
                <w:rFonts w:cstheme="minorHAnsi"/>
              </w:rPr>
            </w:pPr>
            <w:r w:rsidRPr="007A11A5">
              <w:rPr>
                <w:rFonts w:cstheme="minorHAnsi"/>
              </w:rPr>
              <w:t xml:space="preserve">Kryetari duhet të sigurojë që procesit të blerjeve apo porosisë për punë, furnizime dhe shërbime dhe punë të kontraktuara ti paraprijë përgatitja e zotimit dhe aprovimi i </w:t>
            </w:r>
            <w:proofErr w:type="spellStart"/>
            <w:r w:rsidRPr="007A11A5">
              <w:rPr>
                <w:rFonts w:cstheme="minorHAnsi"/>
              </w:rPr>
              <w:t>urdhërblerjeve</w:t>
            </w:r>
            <w:proofErr w:type="spellEnd"/>
            <w:r w:rsidRPr="007A11A5">
              <w:rPr>
                <w:rFonts w:cstheme="minorHAnsi"/>
              </w:rPr>
              <w:t xml:space="preserve"> në SIMFK.</w:t>
            </w:r>
          </w:p>
        </w:tc>
        <w:tc>
          <w:tcPr>
            <w:tcW w:w="2250" w:type="dxa"/>
          </w:tcPr>
          <w:p w14:paraId="6706CA30" w14:textId="7F81AC40" w:rsidR="00930B7C" w:rsidRPr="00EC6E6F" w:rsidRDefault="00C517A7" w:rsidP="00930B7C">
            <w:pPr>
              <w:spacing w:after="0"/>
              <w:jc w:val="center"/>
              <w:rPr>
                <w:rFonts w:cstheme="minorHAnsi"/>
              </w:rPr>
            </w:pPr>
            <w:proofErr w:type="spellStart"/>
            <w:r>
              <w:rPr>
                <w:rFonts w:cstheme="minorHAnsi"/>
              </w:rPr>
              <w:t>Konsiderojm</w:t>
            </w:r>
            <w:proofErr w:type="spellEnd"/>
            <w:r>
              <w:rPr>
                <w:rFonts w:cstheme="minorHAnsi"/>
              </w:rPr>
              <w:t xml:space="preserve"> se </w:t>
            </w:r>
            <w:r w:rsidR="00C55B83">
              <w:rPr>
                <w:rFonts w:cstheme="minorHAnsi"/>
              </w:rPr>
              <w:t>k</w:t>
            </w:r>
            <w:r w:rsidR="00B266D1">
              <w:rPr>
                <w:rFonts w:cstheme="minorHAnsi"/>
              </w:rPr>
              <w:t xml:space="preserve">y rekomandim do të </w:t>
            </w:r>
            <w:proofErr w:type="spellStart"/>
            <w:r w:rsidR="00B266D1">
              <w:rPr>
                <w:rFonts w:cstheme="minorHAnsi"/>
              </w:rPr>
              <w:t>zbatohët</w:t>
            </w:r>
            <w:proofErr w:type="spellEnd"/>
            <w:r w:rsidR="00B266D1">
              <w:rPr>
                <w:rFonts w:cstheme="minorHAnsi"/>
              </w:rPr>
              <w:t xml:space="preserve"> </w:t>
            </w:r>
            <w:proofErr w:type="spellStart"/>
            <w:r w:rsidR="00B266D1">
              <w:rPr>
                <w:rFonts w:cstheme="minorHAnsi"/>
              </w:rPr>
              <w:t>plotësishtë</w:t>
            </w:r>
            <w:proofErr w:type="spellEnd"/>
            <w:r w:rsidR="00B266D1">
              <w:rPr>
                <w:rFonts w:cstheme="minorHAnsi"/>
              </w:rPr>
              <w:t xml:space="preserve"> gjatë vitit 2024</w:t>
            </w:r>
            <w:r w:rsidR="00930B7C">
              <w:rPr>
                <w:rFonts w:cstheme="minorHAnsi"/>
              </w:rPr>
              <w:t>.</w:t>
            </w:r>
          </w:p>
        </w:tc>
        <w:tc>
          <w:tcPr>
            <w:tcW w:w="1080" w:type="dxa"/>
          </w:tcPr>
          <w:p w14:paraId="6C226274" w14:textId="21C3EFA5" w:rsidR="00930B7C" w:rsidRPr="00EC6E6F" w:rsidRDefault="00930B7C" w:rsidP="00930B7C">
            <w:pPr>
              <w:jc w:val="center"/>
              <w:rPr>
                <w:rFonts w:cstheme="minorHAnsi"/>
              </w:rPr>
            </w:pPr>
            <w:r>
              <w:rPr>
                <w:rFonts w:cstheme="minorHAnsi"/>
              </w:rPr>
              <w:t>Drejtoria për Buxhet dhe Financa, zyra e prokurimit dhe drejtoritë përkatëse</w:t>
            </w:r>
          </w:p>
          <w:p w14:paraId="6E3E6A40" w14:textId="77777777" w:rsidR="00930B7C" w:rsidRPr="00EC6E6F" w:rsidRDefault="00930B7C" w:rsidP="00930B7C">
            <w:pPr>
              <w:spacing w:after="0"/>
              <w:jc w:val="center"/>
              <w:rPr>
                <w:rFonts w:cstheme="minorHAnsi"/>
              </w:rPr>
            </w:pPr>
          </w:p>
          <w:p w14:paraId="6B7F08BE" w14:textId="77777777" w:rsidR="00930B7C" w:rsidRPr="00EC6E6F" w:rsidRDefault="00930B7C" w:rsidP="00930B7C">
            <w:pPr>
              <w:spacing w:after="0"/>
              <w:jc w:val="center"/>
              <w:rPr>
                <w:rFonts w:cstheme="minorHAnsi"/>
              </w:rPr>
            </w:pPr>
          </w:p>
          <w:p w14:paraId="037F45A8" w14:textId="77777777" w:rsidR="00930B7C" w:rsidRPr="00EC6E6F" w:rsidRDefault="00930B7C" w:rsidP="00930B7C">
            <w:pPr>
              <w:spacing w:after="0"/>
              <w:jc w:val="center"/>
              <w:rPr>
                <w:rFonts w:cstheme="minorHAnsi"/>
              </w:rPr>
            </w:pPr>
          </w:p>
        </w:tc>
        <w:tc>
          <w:tcPr>
            <w:tcW w:w="810" w:type="dxa"/>
          </w:tcPr>
          <w:p w14:paraId="449FEF69" w14:textId="3ACEA418" w:rsidR="00930B7C" w:rsidRPr="00912F16" w:rsidRDefault="00930B7C" w:rsidP="00930B7C">
            <w:pPr>
              <w:spacing w:after="0"/>
              <w:rPr>
                <w:rFonts w:ascii="Book Antiqua" w:hAnsi="Book Antiqua" w:cs="Book Antiqua"/>
                <w:color w:val="000000"/>
                <w:sz w:val="20"/>
                <w:szCs w:val="20"/>
                <w:lang w:val="sr-Latn-RS"/>
              </w:rPr>
            </w:pPr>
            <w:r>
              <w:rPr>
                <w:rFonts w:ascii="Book Antiqua" w:hAnsi="Book Antiqua" w:cs="Book Antiqua"/>
                <w:color w:val="000000"/>
                <w:sz w:val="20"/>
                <w:szCs w:val="20"/>
                <w:lang w:val="sr-Latn-RS"/>
              </w:rPr>
              <w:t>202</w:t>
            </w:r>
            <w:r w:rsidR="00B266D1">
              <w:rPr>
                <w:rFonts w:ascii="Book Antiqua" w:hAnsi="Book Antiqua" w:cs="Book Antiqua"/>
                <w:color w:val="000000"/>
                <w:sz w:val="20"/>
                <w:szCs w:val="20"/>
                <w:lang w:val="sr-Latn-RS"/>
              </w:rPr>
              <w:t>4</w:t>
            </w:r>
          </w:p>
        </w:tc>
        <w:tc>
          <w:tcPr>
            <w:tcW w:w="905" w:type="dxa"/>
          </w:tcPr>
          <w:p w14:paraId="46B05D85" w14:textId="77777777" w:rsidR="00930B7C" w:rsidRPr="00912F16" w:rsidRDefault="00930B7C" w:rsidP="00930B7C">
            <w:pPr>
              <w:spacing w:after="0"/>
              <w:rPr>
                <w:sz w:val="20"/>
                <w:szCs w:val="20"/>
              </w:rPr>
            </w:pPr>
          </w:p>
        </w:tc>
      </w:tr>
      <w:tr w:rsidR="00930B7C" w:rsidRPr="00912F16" w14:paraId="05C96C81" w14:textId="77777777" w:rsidTr="007F36DB">
        <w:trPr>
          <w:trHeight w:val="4"/>
          <w:jc w:val="center"/>
        </w:trPr>
        <w:tc>
          <w:tcPr>
            <w:tcW w:w="535" w:type="dxa"/>
          </w:tcPr>
          <w:p w14:paraId="6BC7BD76" w14:textId="53491C12" w:rsidR="00930B7C" w:rsidRDefault="00930B7C" w:rsidP="00930B7C">
            <w:pPr>
              <w:spacing w:after="0"/>
              <w:rPr>
                <w:b/>
              </w:rPr>
            </w:pPr>
            <w:r>
              <w:rPr>
                <w:b/>
              </w:rPr>
              <w:lastRenderedPageBreak/>
              <w:t>8.</w:t>
            </w:r>
          </w:p>
          <w:p w14:paraId="68BC397F" w14:textId="77777777" w:rsidR="00930B7C" w:rsidRDefault="00930B7C" w:rsidP="00930B7C">
            <w:pPr>
              <w:spacing w:after="0"/>
              <w:rPr>
                <w:b/>
              </w:rPr>
            </w:pPr>
          </w:p>
          <w:p w14:paraId="17F6B10E" w14:textId="77777777" w:rsidR="00930B7C" w:rsidRDefault="00930B7C" w:rsidP="00930B7C">
            <w:pPr>
              <w:spacing w:after="0"/>
              <w:rPr>
                <w:b/>
              </w:rPr>
            </w:pPr>
          </w:p>
          <w:p w14:paraId="6DF3197C" w14:textId="77777777" w:rsidR="00930B7C" w:rsidRDefault="00930B7C" w:rsidP="00930B7C">
            <w:pPr>
              <w:spacing w:after="0"/>
              <w:rPr>
                <w:b/>
              </w:rPr>
            </w:pPr>
          </w:p>
          <w:p w14:paraId="22259B1E" w14:textId="77777777" w:rsidR="00930B7C" w:rsidRDefault="00930B7C" w:rsidP="00930B7C">
            <w:pPr>
              <w:spacing w:after="0"/>
              <w:rPr>
                <w:b/>
              </w:rPr>
            </w:pPr>
          </w:p>
          <w:p w14:paraId="17BC8520" w14:textId="77777777" w:rsidR="00930B7C" w:rsidRDefault="00930B7C" w:rsidP="00930B7C">
            <w:pPr>
              <w:spacing w:after="0"/>
              <w:rPr>
                <w:b/>
              </w:rPr>
            </w:pPr>
          </w:p>
          <w:p w14:paraId="364BCB15" w14:textId="77777777" w:rsidR="00930B7C" w:rsidRDefault="00930B7C" w:rsidP="00930B7C">
            <w:pPr>
              <w:spacing w:after="0"/>
              <w:rPr>
                <w:b/>
              </w:rPr>
            </w:pPr>
          </w:p>
          <w:p w14:paraId="14BAAFC9" w14:textId="77777777" w:rsidR="00930B7C" w:rsidRDefault="00930B7C" w:rsidP="00930B7C">
            <w:pPr>
              <w:spacing w:after="0"/>
              <w:rPr>
                <w:b/>
              </w:rPr>
            </w:pPr>
          </w:p>
          <w:p w14:paraId="58F66C9D" w14:textId="6313431D" w:rsidR="00930B7C" w:rsidRPr="001469A2" w:rsidRDefault="00930B7C" w:rsidP="00930B7C">
            <w:pPr>
              <w:spacing w:after="0"/>
              <w:rPr>
                <w:b/>
              </w:rPr>
            </w:pPr>
          </w:p>
        </w:tc>
        <w:tc>
          <w:tcPr>
            <w:tcW w:w="1260" w:type="dxa"/>
          </w:tcPr>
          <w:p w14:paraId="00B19E87" w14:textId="19EC6D52" w:rsidR="00930B7C" w:rsidRPr="00912F16" w:rsidRDefault="00411476" w:rsidP="00930B7C">
            <w:pPr>
              <w:spacing w:after="0"/>
              <w:jc w:val="both"/>
              <w:rPr>
                <w:rFonts w:ascii="Sylfaen" w:hAnsi="Sylfaen"/>
                <w:b/>
                <w:sz w:val="20"/>
                <w:szCs w:val="20"/>
              </w:rPr>
            </w:pPr>
            <w:r w:rsidRPr="00411476">
              <w:rPr>
                <w:rFonts w:ascii="Sylfaen" w:hAnsi="Sylfaen"/>
                <w:b/>
                <w:sz w:val="20"/>
                <w:szCs w:val="20"/>
              </w:rPr>
              <w:t xml:space="preserve">Çështja B3 </w:t>
            </w:r>
            <w:r>
              <w:rPr>
                <w:rFonts w:ascii="Sylfaen" w:hAnsi="Sylfaen"/>
                <w:b/>
                <w:sz w:val="20"/>
                <w:szCs w:val="20"/>
              </w:rPr>
              <w:t>–</w:t>
            </w:r>
            <w:r w:rsidRPr="00411476">
              <w:rPr>
                <w:rFonts w:ascii="Sylfaen" w:hAnsi="Sylfaen"/>
                <w:b/>
                <w:sz w:val="20"/>
                <w:szCs w:val="20"/>
              </w:rPr>
              <w:t xml:space="preserve"> </w:t>
            </w:r>
            <w:r w:rsidRPr="00411476">
              <w:rPr>
                <w:rFonts w:ascii="Sylfaen" w:hAnsi="Sylfaen"/>
                <w:sz w:val="20"/>
                <w:szCs w:val="20"/>
              </w:rPr>
              <w:t>Vonesa</w:t>
            </w:r>
            <w:r>
              <w:rPr>
                <w:rFonts w:ascii="Sylfaen" w:hAnsi="Sylfaen"/>
                <w:sz w:val="20"/>
                <w:szCs w:val="20"/>
              </w:rPr>
              <w:t xml:space="preserve"> </w:t>
            </w:r>
            <w:r w:rsidRPr="00411476">
              <w:rPr>
                <w:rFonts w:ascii="Sylfaen" w:hAnsi="Sylfaen"/>
                <w:sz w:val="20"/>
                <w:szCs w:val="20"/>
              </w:rPr>
              <w:t>në pagesën e obligimeve financiare</w:t>
            </w:r>
          </w:p>
        </w:tc>
        <w:tc>
          <w:tcPr>
            <w:tcW w:w="6390" w:type="dxa"/>
          </w:tcPr>
          <w:p w14:paraId="0DDE3936" w14:textId="77777777" w:rsidR="00411476" w:rsidRPr="00411476" w:rsidRDefault="00411476" w:rsidP="00411476">
            <w:pPr>
              <w:spacing w:after="0"/>
              <w:jc w:val="both"/>
              <w:rPr>
                <w:rFonts w:cstheme="minorHAnsi"/>
              </w:rPr>
            </w:pPr>
            <w:r w:rsidRPr="00411476">
              <w:rPr>
                <w:rFonts w:cstheme="minorHAnsi"/>
              </w:rPr>
              <w:t>LMFPP nr. 03/L-048, neni 39 përcakton që çdo faturë e vlefshme dhe kërkesë për pagim për punët, mallra dhe shërbimet e realizuara të paguhet brenda 30 ditëve kalendarike pas pranimit të faturës.</w:t>
            </w:r>
          </w:p>
          <w:p w14:paraId="21458A6F" w14:textId="77777777" w:rsidR="00411476" w:rsidRPr="00411476" w:rsidRDefault="00411476" w:rsidP="00411476">
            <w:pPr>
              <w:spacing w:after="0"/>
              <w:jc w:val="both"/>
              <w:rPr>
                <w:rFonts w:cstheme="minorHAnsi"/>
              </w:rPr>
            </w:pPr>
          </w:p>
          <w:p w14:paraId="03DC988C" w14:textId="77777777" w:rsidR="00411476" w:rsidRPr="00411476" w:rsidRDefault="00411476" w:rsidP="00411476">
            <w:pPr>
              <w:spacing w:after="0"/>
              <w:jc w:val="both"/>
              <w:rPr>
                <w:rFonts w:cstheme="minorHAnsi"/>
              </w:rPr>
            </w:pPr>
            <w:r w:rsidRPr="00411476">
              <w:rPr>
                <w:rFonts w:cstheme="minorHAnsi"/>
              </w:rPr>
              <w:t xml:space="preserve">Gjatë </w:t>
            </w:r>
            <w:proofErr w:type="spellStart"/>
            <w:r w:rsidRPr="00411476">
              <w:rPr>
                <w:rFonts w:cstheme="minorHAnsi"/>
              </w:rPr>
              <w:t>auditimit</w:t>
            </w:r>
            <w:proofErr w:type="spellEnd"/>
            <w:r w:rsidRPr="00411476">
              <w:rPr>
                <w:rFonts w:cstheme="minorHAnsi"/>
              </w:rPr>
              <w:t xml:space="preserve"> të pagesave, kemi identifikuar se 11 pagesa në vlerë 444,437€, nuk ishin paguar brenda afatit kohor ligjor prej 30 ditëve nga data e pranimit të faturave. Vonesat ishin nga 2 javë deri në 2 vite.</w:t>
            </w:r>
          </w:p>
          <w:p w14:paraId="40D4ECA1" w14:textId="77777777" w:rsidR="00411476" w:rsidRPr="00411476" w:rsidRDefault="00411476" w:rsidP="00411476">
            <w:pPr>
              <w:spacing w:after="0"/>
              <w:jc w:val="both"/>
              <w:rPr>
                <w:rFonts w:cstheme="minorHAnsi"/>
              </w:rPr>
            </w:pPr>
          </w:p>
          <w:p w14:paraId="46FDCFE7" w14:textId="4386B80D" w:rsidR="00930B7C" w:rsidRPr="00EC6E6F" w:rsidRDefault="00411476" w:rsidP="00411476">
            <w:pPr>
              <w:spacing w:after="0"/>
              <w:jc w:val="both"/>
              <w:rPr>
                <w:rFonts w:cstheme="minorHAnsi"/>
              </w:rPr>
            </w:pPr>
            <w:r w:rsidRPr="00411476">
              <w:rPr>
                <w:rFonts w:cstheme="minorHAnsi"/>
              </w:rPr>
              <w:t>Kjo ka ndodhur për shkak të hyrjes në obligime pa zotim paraprak të mjeteve buxhetore, si dhe kontrolleve jo adekuate në menaxhimin e obligimeve.</w:t>
            </w:r>
          </w:p>
        </w:tc>
        <w:tc>
          <w:tcPr>
            <w:tcW w:w="2070" w:type="dxa"/>
          </w:tcPr>
          <w:p w14:paraId="121DB999" w14:textId="4F26F4AD" w:rsidR="00930B7C" w:rsidRPr="00EC6E6F" w:rsidRDefault="00411476" w:rsidP="00930B7C">
            <w:pPr>
              <w:spacing w:after="0"/>
              <w:jc w:val="both"/>
              <w:rPr>
                <w:rFonts w:cstheme="minorHAnsi"/>
              </w:rPr>
            </w:pPr>
            <w:r w:rsidRPr="00411476">
              <w:rPr>
                <w:rFonts w:cstheme="minorHAnsi"/>
              </w:rPr>
              <w:t>Kryetari duhet të sigurojë se hyrja në obligime bëhet vetëm pasi mjetet buxhetore të jenë zotuar paraprakisht, dhe se obligimet financiare ndaj kontraktuesve të paguhen brenda afatit kohor ligjor.</w:t>
            </w:r>
          </w:p>
        </w:tc>
        <w:tc>
          <w:tcPr>
            <w:tcW w:w="2250" w:type="dxa"/>
          </w:tcPr>
          <w:p w14:paraId="1965CC8B" w14:textId="30786639" w:rsidR="00930B7C" w:rsidRPr="00EC6E6F" w:rsidRDefault="00C55B83" w:rsidP="00930B7C">
            <w:pPr>
              <w:spacing w:after="0"/>
              <w:jc w:val="center"/>
              <w:rPr>
                <w:rFonts w:cstheme="minorHAnsi"/>
              </w:rPr>
            </w:pPr>
            <w:r>
              <w:rPr>
                <w:rFonts w:cstheme="minorHAnsi"/>
              </w:rPr>
              <w:t xml:space="preserve">Gjatë vitit 2024 prioritet i yni ka qene pagesa e faturave </w:t>
            </w:r>
            <w:proofErr w:type="spellStart"/>
            <w:r>
              <w:rPr>
                <w:rFonts w:cstheme="minorHAnsi"/>
              </w:rPr>
              <w:t>mrenda</w:t>
            </w:r>
            <w:proofErr w:type="spellEnd"/>
            <w:r>
              <w:rPr>
                <w:rFonts w:cstheme="minorHAnsi"/>
              </w:rPr>
              <w:t xml:space="preserve"> afatit të caktuar prej 30 </w:t>
            </w:r>
            <w:proofErr w:type="spellStart"/>
            <w:r>
              <w:rPr>
                <w:rFonts w:cstheme="minorHAnsi"/>
              </w:rPr>
              <w:t>diteve</w:t>
            </w:r>
            <w:proofErr w:type="spellEnd"/>
            <w:r>
              <w:rPr>
                <w:rFonts w:cstheme="minorHAnsi"/>
              </w:rPr>
              <w:t xml:space="preserve">, dhe i kemi ndërmarr të gjitha veprimet për pagesën e faturave dhe respektimin e </w:t>
            </w:r>
            <w:proofErr w:type="spellStart"/>
            <w:r>
              <w:rPr>
                <w:rFonts w:cstheme="minorHAnsi"/>
              </w:rPr>
              <w:t>lLMFPP</w:t>
            </w:r>
            <w:proofErr w:type="spellEnd"/>
            <w:r>
              <w:rPr>
                <w:rFonts w:cstheme="minorHAnsi"/>
              </w:rPr>
              <w:t xml:space="preserve"> </w:t>
            </w:r>
            <w:proofErr w:type="spellStart"/>
            <w:r>
              <w:rPr>
                <w:rFonts w:cstheme="minorHAnsi"/>
              </w:rPr>
              <w:t>nr</w:t>
            </w:r>
            <w:proofErr w:type="spellEnd"/>
            <w:r>
              <w:rPr>
                <w:rFonts w:cstheme="minorHAnsi"/>
              </w:rPr>
              <w:t xml:space="preserve"> 03/L-048, dhe </w:t>
            </w:r>
            <w:proofErr w:type="spellStart"/>
            <w:r>
              <w:rPr>
                <w:rFonts w:cstheme="minorHAnsi"/>
              </w:rPr>
              <w:t>konsiderojm</w:t>
            </w:r>
            <w:proofErr w:type="spellEnd"/>
            <w:r>
              <w:rPr>
                <w:rFonts w:cstheme="minorHAnsi"/>
              </w:rPr>
              <w:t xml:space="preserve"> qe ky rekomandim do të jetë i zbatuar deri në fund të vitit 2024</w:t>
            </w:r>
            <w:r w:rsidR="00930B7C">
              <w:rPr>
                <w:rFonts w:cstheme="minorHAnsi"/>
              </w:rPr>
              <w:t>.</w:t>
            </w:r>
          </w:p>
        </w:tc>
        <w:tc>
          <w:tcPr>
            <w:tcW w:w="1080" w:type="dxa"/>
          </w:tcPr>
          <w:p w14:paraId="63E7584A" w14:textId="6F8E6E70" w:rsidR="00930B7C" w:rsidRPr="00EC6E6F" w:rsidRDefault="00C55B83" w:rsidP="00930B7C">
            <w:pPr>
              <w:spacing w:after="0"/>
              <w:rPr>
                <w:rFonts w:cstheme="minorHAnsi"/>
              </w:rPr>
            </w:pPr>
            <w:r>
              <w:rPr>
                <w:rFonts w:cstheme="minorHAnsi"/>
              </w:rPr>
              <w:t xml:space="preserve">Drejtoria për </w:t>
            </w:r>
            <w:proofErr w:type="spellStart"/>
            <w:r>
              <w:rPr>
                <w:rFonts w:cstheme="minorHAnsi"/>
              </w:rPr>
              <w:t>shëndetsi</w:t>
            </w:r>
            <w:proofErr w:type="spellEnd"/>
            <w:r>
              <w:rPr>
                <w:rFonts w:cstheme="minorHAnsi"/>
              </w:rPr>
              <w:t xml:space="preserve"> dhe  Zyra e </w:t>
            </w:r>
            <w:proofErr w:type="spellStart"/>
            <w:r>
              <w:rPr>
                <w:rFonts w:cstheme="minorHAnsi"/>
              </w:rPr>
              <w:t>prokurimit,dhe</w:t>
            </w:r>
            <w:proofErr w:type="spellEnd"/>
            <w:r>
              <w:rPr>
                <w:rFonts w:cstheme="minorHAnsi"/>
              </w:rPr>
              <w:t xml:space="preserve"> drejtorit </w:t>
            </w:r>
            <w:proofErr w:type="spellStart"/>
            <w:r>
              <w:rPr>
                <w:rFonts w:cstheme="minorHAnsi"/>
              </w:rPr>
              <w:t>përkatse</w:t>
            </w:r>
            <w:proofErr w:type="spellEnd"/>
            <w:r>
              <w:rPr>
                <w:rFonts w:cstheme="minorHAnsi"/>
              </w:rPr>
              <w:t>.</w:t>
            </w:r>
          </w:p>
        </w:tc>
        <w:tc>
          <w:tcPr>
            <w:tcW w:w="810" w:type="dxa"/>
          </w:tcPr>
          <w:p w14:paraId="3D3301D3" w14:textId="6055627A" w:rsidR="00930B7C" w:rsidRPr="00912F16" w:rsidRDefault="00C55B83" w:rsidP="00930B7C">
            <w:pPr>
              <w:spacing w:after="0"/>
              <w:rPr>
                <w:rFonts w:ascii="Book Antiqua" w:hAnsi="Book Antiqua" w:cs="Book Antiqua"/>
                <w:color w:val="000000"/>
                <w:sz w:val="20"/>
                <w:szCs w:val="20"/>
                <w:lang w:val="sr-Latn-RS"/>
              </w:rPr>
            </w:pPr>
            <w:r>
              <w:rPr>
                <w:rFonts w:ascii="Book Antiqua" w:hAnsi="Book Antiqua" w:cs="Book Antiqua"/>
                <w:color w:val="000000"/>
                <w:sz w:val="20"/>
                <w:szCs w:val="20"/>
                <w:lang w:val="sr-Latn-RS"/>
              </w:rPr>
              <w:t>2024</w:t>
            </w:r>
          </w:p>
        </w:tc>
        <w:tc>
          <w:tcPr>
            <w:tcW w:w="905" w:type="dxa"/>
          </w:tcPr>
          <w:p w14:paraId="68D9C78D" w14:textId="77777777" w:rsidR="00930B7C" w:rsidRPr="00912F16" w:rsidRDefault="00930B7C" w:rsidP="00930B7C">
            <w:pPr>
              <w:spacing w:after="0"/>
              <w:rPr>
                <w:sz w:val="20"/>
                <w:szCs w:val="20"/>
              </w:rPr>
            </w:pPr>
          </w:p>
        </w:tc>
      </w:tr>
    </w:tbl>
    <w:p w14:paraId="2CABC972" w14:textId="77777777" w:rsidR="00747C1E" w:rsidRDefault="00747C1E" w:rsidP="00732CA2">
      <w:pPr>
        <w:spacing w:after="0"/>
      </w:pPr>
    </w:p>
    <w:sectPr w:rsidR="00747C1E" w:rsidSect="00EE0285">
      <w:pgSz w:w="15840" w:h="12240" w:orient="landscape" w:code="1"/>
      <w:pgMar w:top="360" w:right="360" w:bottom="360" w:left="36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56F"/>
    <w:rsid w:val="0001432D"/>
    <w:rsid w:val="0004533E"/>
    <w:rsid w:val="0005494F"/>
    <w:rsid w:val="0007246A"/>
    <w:rsid w:val="00094930"/>
    <w:rsid w:val="000D3559"/>
    <w:rsid w:val="0015166E"/>
    <w:rsid w:val="00156E57"/>
    <w:rsid w:val="0017012D"/>
    <w:rsid w:val="001743BE"/>
    <w:rsid w:val="001B7CF4"/>
    <w:rsid w:val="0021018E"/>
    <w:rsid w:val="002B21AF"/>
    <w:rsid w:val="002E34A0"/>
    <w:rsid w:val="0030094C"/>
    <w:rsid w:val="00322146"/>
    <w:rsid w:val="00411476"/>
    <w:rsid w:val="004133CC"/>
    <w:rsid w:val="005017A0"/>
    <w:rsid w:val="005245EE"/>
    <w:rsid w:val="00621720"/>
    <w:rsid w:val="006703DF"/>
    <w:rsid w:val="00682433"/>
    <w:rsid w:val="00697B19"/>
    <w:rsid w:val="006B13D8"/>
    <w:rsid w:val="00732CA2"/>
    <w:rsid w:val="00737B8C"/>
    <w:rsid w:val="00747C1E"/>
    <w:rsid w:val="00756E9B"/>
    <w:rsid w:val="007A11A5"/>
    <w:rsid w:val="007C522E"/>
    <w:rsid w:val="007F36DB"/>
    <w:rsid w:val="0084353B"/>
    <w:rsid w:val="0085588C"/>
    <w:rsid w:val="00930B7C"/>
    <w:rsid w:val="009564CD"/>
    <w:rsid w:val="00990ED8"/>
    <w:rsid w:val="009A0B31"/>
    <w:rsid w:val="009F2005"/>
    <w:rsid w:val="00A51FC9"/>
    <w:rsid w:val="00A82A31"/>
    <w:rsid w:val="00AF1422"/>
    <w:rsid w:val="00B130AF"/>
    <w:rsid w:val="00B266D1"/>
    <w:rsid w:val="00B37352"/>
    <w:rsid w:val="00B90AD8"/>
    <w:rsid w:val="00BC156F"/>
    <w:rsid w:val="00C517A7"/>
    <w:rsid w:val="00C55B83"/>
    <w:rsid w:val="00C95AE5"/>
    <w:rsid w:val="00CA4094"/>
    <w:rsid w:val="00CB3A34"/>
    <w:rsid w:val="00CD6116"/>
    <w:rsid w:val="00CE2D63"/>
    <w:rsid w:val="00CF0D4F"/>
    <w:rsid w:val="00CF66B1"/>
    <w:rsid w:val="00D0078A"/>
    <w:rsid w:val="00D5480E"/>
    <w:rsid w:val="00D602C0"/>
    <w:rsid w:val="00D636DD"/>
    <w:rsid w:val="00D84E47"/>
    <w:rsid w:val="00E10B92"/>
    <w:rsid w:val="00EA2240"/>
    <w:rsid w:val="00EC5DF8"/>
    <w:rsid w:val="00ED067E"/>
    <w:rsid w:val="00ED70CB"/>
    <w:rsid w:val="00F05FC5"/>
    <w:rsid w:val="00F23493"/>
    <w:rsid w:val="00F27A8F"/>
    <w:rsid w:val="00F75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5A21A"/>
  <w15:chartTrackingRefBased/>
  <w15:docId w15:val="{67A2351C-6AD5-4697-8929-4297B15D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156F"/>
    <w:pPr>
      <w:spacing w:after="200" w:line="276" w:lineRule="auto"/>
    </w:pPr>
    <w:rPr>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15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9B9D7-5DA8-49EB-BB84-7F053CFD8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8</Pages>
  <Words>2849</Words>
  <Characters>16241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Fatmir Iska</dc:creator>
  <cp:keywords/>
  <dc:description/>
  <cp:lastModifiedBy>Afrim Limani</cp:lastModifiedBy>
  <cp:revision>35</cp:revision>
  <dcterms:created xsi:type="dcterms:W3CDTF">2023-06-30T08:14:00Z</dcterms:created>
  <dcterms:modified xsi:type="dcterms:W3CDTF">2024-07-10T07:21:00Z</dcterms:modified>
</cp:coreProperties>
</file>